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**Acme Inc** — Formal Privacy Program Establishment</w:t>
      </w:r>
    </w:p>
    <w:p>
      <w:r>
        <w:t xml:space="preserve">&gt;</w:t>
      </w:r>
    </w:p>
    <w:p>
      <w:pPr>
        <w:ind w:left="720"/>
      </w:pPr>
      <w:r>
        <w:rPr>
          <w:i/>
          <w:color w:val="666666"/>
        </w:rPr>
        <w:t xml:space="preserve">**Effective Date:** 2026-03-18</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Bdr>
          <w:bottom w:val="single" w:sz="6" w:space="1" w:color="999999"/>
        </w:pBdr>
      </w:pPr>
    </w:p>
    <w:p>
      <w:pPr>
        <w:pStyle w:val="Heading2"/>
      </w:pPr>
      <w:r>
        <w:t>1. Mission Statement</w:t>
      </w:r>
    </w:p>
    <w:p>
      <w:r>
        <w:t xml:space="preserve">The Privacy Program of Acme Inc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Acme Inc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Acme Inc currently processes data through 8 detected service(s):</w:t>
      </w:r>
    </w:p>
    <w:p>
      <w:pPr>
        <w:pStyle w:val="ListParagraph"/>
        <w:numPr>
          <w:ilvl w:val="0"/>
          <w:numId w:val="1"/>
        </w:numPr>
      </w:pPr>
      <w:r>
        <w:t xml:space="preserve">**Monitoring:** @sentry/node</w:t>
      </w:r>
    </w:p>
    <w:p>
      <w:pPr>
        <w:pStyle w:val="ListParagraph"/>
        <w:numPr>
          <w:ilvl w:val="0"/>
          <w:numId w:val="1"/>
        </w:numPr>
      </w:pPr>
      <w:r>
        <w:t xml:space="preserve">**Auth:** @supabase/supabase-js</w:t>
      </w:r>
    </w:p>
    <w:p>
      <w:pPr>
        <w:pStyle w:val="ListParagraph"/>
        <w:numPr>
          <w:ilvl w:val="0"/>
          <w:numId w:val="1"/>
        </w:numPr>
      </w:pPr>
      <w:r>
        <w:t xml:space="preserve">**Ai:** openai</w:t>
      </w:r>
    </w:p>
    <w:p>
      <w:pPr>
        <w:pStyle w:val="ListParagraph"/>
        <w:numPr>
          <w:ilvl w:val="0"/>
          <w:numId w:val="1"/>
        </w:numPr>
      </w:pPr>
      <w:r>
        <w:t xml:space="preserve">**Analytics:** posthog</w:t>
      </w:r>
    </w:p>
    <w:p>
      <w:pPr>
        <w:pStyle w:val="ListParagraph"/>
        <w:numPr>
          <w:ilvl w:val="0"/>
          <w:numId w:val="1"/>
        </w:numPr>
      </w:pPr>
      <w:r>
        <w:t xml:space="preserve">**Database:** prisma</w:t>
      </w:r>
    </w:p>
    <w:p>
      <w:pPr>
        <w:pStyle w:val="ListParagraph"/>
        <w:numPr>
          <w:ilvl w:val="0"/>
          <w:numId w:val="1"/>
        </w:numPr>
      </w:pPr>
      <w:r>
        <w:t xml:space="preserve">**Email:** resend</w:t>
      </w:r>
    </w:p>
    <w:p>
      <w:pPr>
        <w:pStyle w:val="ListParagraph"/>
        <w:numPr>
          <w:ilvl w:val="0"/>
          <w:numId w:val="1"/>
        </w:numPr>
      </w:pPr>
      <w:r>
        <w:t xml:space="preserve">**Payment:** stripe, stripe-ios</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GDPR  |  EU/EEA  |  Lawful basis, data subject rights, DPO, DPIA, breach notification</w:t>
      </w:r>
    </w:p>
    <w:p>
      <w:r>
        <w:rPr>
          <w:sz w:val="20"/>
        </w:rPr>
        <w:t xml:space="preserve">ePrivacy Directive  |  EU/EEA  |  Cookie consent, electronic communications</w:t>
      </w:r>
    </w:p>
    <w:p>
      <w:r>
        <w:rPr>
          <w:sz w:val="20"/>
        </w:rPr>
        <w:t xml:space="preserve">UK GDPR + DPA 2018  |  United Kingdom  |  UK-specific data protection requirements</w:t>
      </w:r>
    </w:p>
    <w:p>
      <w:r>
        <w:rPr>
          <w:sz w:val="20"/>
        </w:rPr>
        <w:t xml:space="preserve">EU AI Act  |  EU/EEA  |  AI risk classification, transparency, human oversight</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Jane Mueller</w:t>
      </w:r>
    </w:p>
    <w:p>
      <w:pPr>
        <w:pStyle w:val="ListParagraph"/>
        <w:numPr>
          <w:ilvl w:val="0"/>
          <w:numId w:val="1"/>
        </w:numPr>
      </w:pPr>
      <w:r>
        <w:t xml:space="preserve">**Email:** dpo@acme-saas.com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ListParagraph"/>
        <w:numPr>
          <w:ilvl w:val="0"/>
          <w:numId w:val="1"/>
        </w:numPr>
      </w:pPr>
      <w:r>
        <w:t xml:space="preserve">Ensure AI systems comply with transparency and explainability requirements</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dpo@acme-saas.com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6  |  Complete AI risk assessments for all AI-powered features  |  All AI features assessed  |  Engineering + DPO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r>
        <w:rPr>
          <w:sz w:val="20"/>
        </w:rPr>
        <w:t xml:space="preserve">Cookie consent rate  |  % of users making an active cookie choice  |  ≥ 70%  |  Monthly</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Jane Mueller (dpo@acme-saas.com)</w:t>
      </w:r>
    </w:p>
    <w:p>
      <w:r>
        <w:rPr>
          <w:sz w:val="20"/>
        </w:rPr>
        <w:t xml:space="preserve">**Last reviewed**  |  2026-03-18</w:t>
      </w:r>
    </w:p>
    <w:p>
      <w:r>
        <w:rPr>
          <w:sz w:val="20"/>
        </w:rPr>
        <w:t xml:space="preserve">**Next review due**  |  2027-03-18</w:t>
      </w:r>
    </w:p>
    <w:p>
      <w:pPr>
        <w:pStyle w:val="Heading2"/>
      </w:pPr>
      <w:r>
        <w:t>11. Contact</w:t>
      </w:r>
    </w:p>
    <w:p>
      <w:r>
        <w:t xml:space="preserve">For questions about the Privacy Program:</w:t>
      </w:r>
    </w:p>
    <w:p>
      <w:pPr>
        <w:pStyle w:val="ListParagraph"/>
        <w:numPr>
          <w:ilvl w:val="0"/>
          <w:numId w:val="1"/>
        </w:numPr>
      </w:pPr>
      <w:r>
        <w:t xml:space="preserve">**DPO:** Jane Mueller — dpo@acme-saas.com</w:t>
      </w:r>
    </w:p>
    <w:p>
      <w:pPr>
        <w:pStyle w:val="ListParagraph"/>
        <w:numPr>
          <w:ilvl w:val="0"/>
          <w:numId w:val="1"/>
        </w:numPr>
      </w:pPr>
      <w:r>
        <w:t xml:space="preserve">**General Contact:** legal@acme.com</w:t>
      </w:r>
    </w:p>
    <w:p>
      <w:pPr>
        <w:pStyle w:val="ListParagraph"/>
        <w:numPr>
          <w:ilvl w:val="0"/>
          <w:numId w:val="1"/>
        </w:numPr>
      </w:pPr>
      <w:r>
        <w:t xml:space="preserve">**Website:** https://acme-saas.com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