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Company: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nextjs-saas-example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CI/CD Infrastructure</w:t>
      </w:r>
    </w:p>
    <w:p>
      <w:r>
        <w:t xml:space="preserve">No CI/CD configuration was detected in the project. It is strongly recommended to implement a CI/CD pipeline for:</w:t>
      </w:r>
    </w:p>
    <w:p>
      <w:pPr>
        <w:pStyle w:val="ListParagraph"/>
        <w:numPr>
          <w:ilvl w:val="0"/>
          <w:numId w:val="2"/>
        </w:numPr>
      </w:pPr>
      <w:r>
        <w:t xml:space="preserve">Automated testing before deployment</w:t>
      </w:r>
    </w:p>
    <w:p>
      <w:pPr>
        <w:pStyle w:val="ListParagraph"/>
        <w:numPr>
          <w:ilvl w:val="0"/>
          <w:numId w:val="2"/>
        </w:numPr>
      </w:pPr>
      <w:r>
        <w:t xml:space="preserve">Consistent deployment procedures</w:t>
      </w:r>
    </w:p>
    <w:p>
      <w:pPr>
        <w:pStyle w:val="ListParagraph"/>
        <w:numPr>
          <w:ilvl w:val="0"/>
          <w:numId w:val="2"/>
        </w:numPr>
      </w:pPr>
      <w:r>
        <w:t xml:space="preserve">Audit trail for all changes</w:t>
      </w:r>
    </w:p>
    <w:p>
      <w:pPr>
        <w:pStyle w:val="ListParagraph"/>
        <w:numPr>
          <w:ilvl w:val="0"/>
          <w:numId w:val="2"/>
        </w:numPr>
      </w:pPr>
      <w:r>
        <w:t xml:space="preserve">Rollback capabilities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ListParagraph"/>
        <w:numPr>
          <w:ilvl w:val="0"/>
          <w:numId w:val="1"/>
        </w:numPr>
      </w:pPr>
      <w:r>
        <w:t xml:space="preserve">[ ] Payment-related changes comply with PCI DSS requirements</w:t>
      </w:r>
    </w:p>
    <w:p>
      <w:pPr>
        <w:pStyle w:val="ListParagraph"/>
        <w:numPr>
          <w:ilvl w:val="0"/>
          <w:numId w:val="1"/>
        </w:numPr>
      </w:pPr>
      <w:r>
        <w:t xml:space="preserve">[ ] No credit card data is logged or stored in plaintext</w:t>
      </w:r>
    </w:p>
    <w:p>
      <w:pPr>
        <w:pStyle w:val="ListParagraph"/>
        <w:numPr>
          <w:ilvl w:val="0"/>
          <w:numId w:val="1"/>
        </w:numPr>
      </w:pPr>
      <w:r>
        <w:t xml:space="preserve">[ ] AI model changes include updated model cards and disclosures</w:t>
      </w:r>
    </w:p>
    <w:p>
      <w:pPr>
        <w:pStyle w:val="ListParagraph"/>
        <w:numPr>
          <w:ilvl w:val="0"/>
          <w:numId w:val="1"/>
        </w:numPr>
      </w:pPr>
      <w:r>
        <w:t xml:space="preserve">[ ] AI input/output handling follows data minimization principles</w:t>
      </w:r>
    </w:p>
    <w:p>
      <w:pPr>
        <w:pStyle w:val="ListParagraph"/>
        <w:numPr>
          <w:ilvl w:val="0"/>
          <w:numId w:val="1"/>
        </w:numPr>
      </w:pPr>
      <w:r>
        <w:t xml:space="preserve">[ ] Authentication changes follow OWASP guidelines</w:t>
      </w:r>
    </w:p>
    <w:p>
      <w:pPr>
        <w:pStyle w:val="ListParagraph"/>
        <w:numPr>
          <w:ilvl w:val="0"/>
          <w:numId w:val="1"/>
        </w:numPr>
      </w:pPr>
      <w:r>
        <w:t xml:space="preserve">[ ] Session management changes maintain security properties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legal@acme.com.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