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Acme Inc.**</w:t>
      </w:r>
    </w:p>
    <w:p>
      <w:pPr>
        <w:ind w:left="720"/>
      </w:pPr>
      <w:r>
        <w:rPr>
          <w:i/>
          <w:color w:val="666666"/>
        </w:rPr>
        <w:t xml:space="preserve">8 services | Generated on 2026-03-18</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[dpo@acme-saas.com](mailto:dpo@acme-saas.com)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([legal@acme.com](mailto:legal@acme.com))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@sentry/node  |  monitoring  |  **P2**  |  **P2**  |  error data, stack traces, user context  |  Minimal direct regulatory impact</w:t>
      </w:r>
    </w:p>
    <w:p>
      <w:r>
        <w:rPr>
          <w:sz w:val="20"/>
        </w:rPr>
        <w:t xml:space="preserve">@supabase/supabase-js  |  auth  |  **P0**  |  **P1**  |  email, password hash, session data  |  GDPR Art. 33/34, credential breach notification</w:t>
      </w:r>
    </w:p>
    <w:p>
      <w:r>
        <w:rPr>
          <w:sz w:val="20"/>
        </w:rPr>
        <w:t xml:space="preserve">openai  |  ai  |  **P0**  |  **P2**  |  user prompts, conversation history, generated content  |  EU AI Act, GDPR Art. 22 (automated decisions)</w:t>
      </w:r>
    </w:p>
    <w:p>
      <w:r>
        <w:rPr>
          <w:sz w:val="20"/>
        </w:rPr>
        <w:t xml:space="preserve">posthog  |  analytics  |  **P1**  |  **P3**  |  user behavior, session recordings, feature flag usage  |  ePrivacy, GDPR Art. 6/7 (consent)</w:t>
      </w:r>
    </w:p>
    <w:p>
      <w:r>
        <w:rPr>
          <w:sz w:val="20"/>
        </w:rPr>
        <w:t xml:space="preserve">prisma  |  database  |  **P0**  |  **P1**  |  user data as defined in schema  |  GDPR Art. 33/34, data breach notification</w:t>
      </w:r>
    </w:p>
    <w:p>
      <w:r>
        <w:rPr>
          <w:sz w:val="20"/>
        </w:rPr>
        <w:t xml:space="preserve">resend  |  email  |  **P1**  |  **P2**  |  email addresses, email content  |  CAN-SPAM, GDPR Art. 33/34</w:t>
      </w:r>
    </w:p>
    <w:p>
      <w:r>
        <w:rPr>
          <w:sz w:val="20"/>
        </w:rPr>
        <w:t xml:space="preserve">stripe  |  payment  |  **P0**  |  **P1**  |  payment information, billing address, email  |  PCI DSS, GDPR Art. 33/34</w:t>
      </w:r>
    </w:p>
    <w:p>
      <w:r>
        <w:rPr>
          <w:sz w:val="20"/>
        </w:rPr>
        <w:t xml:space="preserve">stripe-ios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AI Services</w:t>
      </w:r>
    </w:p>
    <w:p>
      <w:r>
        <w:rPr>
          <w:sz w:val="20"/>
        </w:rPr>
        <w:t xml:space="preserve">Scenario  |  Severity  |  Response Action</w:t>
      </w:r>
    </w:p>
    <w:p>
      <w:r>
        <w:rPr>
          <w:sz w:val="20"/>
        </w:rPr>
        <w:t xml:space="preserve">User PII leaked through AI prompts  |  **P0**  |  Disable AI feature, assess data exposure, notify affected users</w:t>
      </w:r>
    </w:p>
    <w:p>
      <w:r>
        <w:rPr>
          <w:sz w:val="20"/>
        </w:rPr>
        <w:t xml:space="preserve">Prompt injection bypasses safety controls  |  **P1**  |  Throttle AI endpoint, deploy input validation fix, audit recent outputs</w:t>
      </w:r>
    </w:p>
    <w:p>
      <w:r>
        <w:rPr>
          <w:sz w:val="20"/>
        </w:rPr>
        <w:t xml:space="preserve">AI model produces biased/discriminatory output  |  **P2**  |  Document instances, add guardrails, notify AI ethics team</w:t>
      </w:r>
    </w:p>
    <w:p>
      <w:r>
        <w:rPr>
          <w:sz w:val="20"/>
        </w:rPr>
        <w:t xml:space="preserve">AI service provider data breach  |  **P1**  |  Assess data shared with provider, rotate API keys, review DPA obligations</w:t>
      </w:r>
    </w:p>
    <w:p>
      <w:r>
        <w:rPr>
          <w:sz w:val="20"/>
        </w:rPr>
        <w:t xml:space="preserve">AI hallucination causes user harm  |  **P2**  |  Add output disclaimers, review and strengthen validation layer</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Style w:val="Heading3"/>
      </w:pPr>
      <w:r>
        <w:t>Analytics Services</w:t>
      </w:r>
    </w:p>
    <w:p>
      <w:r>
        <w:rPr>
          <w:sz w:val="20"/>
        </w:rPr>
        <w:t xml:space="preserve">Scenario  |  Severity  |  Response Action</w:t>
      </w:r>
    </w:p>
    <w:p>
      <w:r>
        <w:rPr>
          <w:sz w:val="20"/>
        </w:rPr>
        <w:t xml:space="preserve">Analytics collecting PII without consent  |  **P2**  |  Disable data collection, audit consent records, update cookie consent config</w:t>
      </w:r>
    </w:p>
    <w:p>
      <w:r>
        <w:rPr>
          <w:sz w:val="20"/>
        </w:rPr>
        <w:t xml:space="preserve">Analytics data shared with unauthorized third party  |  **P1**  |  Revoke access, assess GDPR Art. 33 notification requirement</w:t>
      </w:r>
    </w:p>
    <w:p>
      <w:r>
        <w:rPr>
          <w:sz w:val="20"/>
        </w:rPr>
        <w:t xml:space="preserve">Analytics tracking across domains without disclosure  |  **P3**  |  Update privacy policy, reconfigure tracking parameters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EU AI Act  |  As required by severity  |  Depends on risk level  |  Additional obligations for high-risk AI systems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([dpo@acme-saas.com](mailto:dpo@acme-saas.com))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nextjs-saas-example codebase (8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