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From: Acme Inc</w:t>
      </w:r>
    </w:p>
    <w:p>
      <w:r>
        <w:t xml:space="preserve">Date: 2026-03-18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Acme Inc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Sentry  |  Error tracking and performance monitoring  |  error data, stack traces, user context, device information, IP address</w:t>
      </w:r>
    </w:p>
    <w:p>
      <w:r>
        <w:rPr>
          <w:sz w:val="20"/>
        </w:rPr>
        <w:t xml:space="preserve">Supabase  |  User authentication and identity management  |  email, password hash, session data, user metadata</w:t>
      </w:r>
    </w:p>
    <w:p>
      <w:r>
        <w:rPr>
          <w:sz w:val="20"/>
        </w:rPr>
        <w:t xml:space="preserve">OpenAI  |  AI processing and content generation  |  user prompts, conversation history, generated content</w:t>
      </w:r>
    </w:p>
    <w:p>
      <w:r>
        <w:rPr>
          <w:sz w:val="20"/>
        </w:rPr>
        <w:t xml:space="preserve">PostHog  |  Product analytics and usage tracking  |  user behavior, session recordings, feature flag usage, device information</w:t>
      </w:r>
    </w:p>
    <w:p>
      <w:r>
        <w:rPr>
          <w:sz w:val="20"/>
        </w:rPr>
        <w:t xml:space="preserve">Resend  |  Transactional and marketing email delivery  |  email addresses, email content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rPr>
          <w:sz w:val="20"/>
        </w:rPr>
        <w:t xml:space="preserve">stripe-ios  |  Payment processing and billing  |  payment information, billing address, email, transaction history</w:t>
      </w:r>
    </w:p>
    <w:p>
      <w:r>
        <w:t xml:space="preserve">The complete and up-to-date sub-processor list is maintained at https://acme-saas.com/legal/sub-processors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Acme Inc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dpo@acme-saas.com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Acme Inc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Acme Inc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dpo@acme-saas.com</w:t>
      </w:r>
    </w:p>
    <w:p>
      <w:pPr>
        <w:pStyle w:val="ListParagraph"/>
        <w:numPr>
          <w:ilvl w:val="0"/>
          <w:numId w:val="1"/>
        </w:numPr>
      </w:pPr>
      <w:r>
        <w:t xml:space="preserve">**General Contact:** legal@acme.com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https://acme-saas.com/legal/sub-processors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