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Assessor: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nextjs-saas-example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7</w:t>
      </w:r>
    </w:p>
    <w:p>
      <w:r>
        <w:t xml:space="preserve">For questions about this assessment, contact legal@acme.com.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Sentry  |  monitoring  |  low  |  US  |  SOC 2 Type II, ISO 27001, GDPR  |  Low</w:t>
      </w:r>
    </w:p>
    <w:p>
      <w:r>
        <w:rPr>
          <w:sz w:val="20"/>
        </w:rPr>
        <w:t xml:space="preserve">Supabase  |  auth  |  high  |  Other  |  SOC 2 Type II, ISO 27001, GDPR  |  Critical</w:t>
      </w:r>
    </w:p>
    <w:p>
      <w:r>
        <w:rPr>
          <w:sz w:val="20"/>
        </w:rPr>
        <w:t xml:space="preserve">OpenAI  |  ai  |  high  |  US  |  SOC 2 Type II, GDPR  |  Critical</w:t>
      </w:r>
    </w:p>
    <w:p>
      <w:r>
        <w:rPr>
          <w:sz w:val="20"/>
        </w:rPr>
        <w:t xml:space="preserve">PostHog  |  analytics  |  medium  |  US  |  SOC 2 Type II, GDPR  |  High</w:t>
      </w:r>
    </w:p>
    <w:p>
      <w:r>
        <w:rPr>
          <w:sz w:val="20"/>
        </w:rPr>
        <w:t xml:space="preserve">Resend  |  email  |  medium  |  US  |  SOC 2 Type II, GDPR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r>
        <w:rPr>
          <w:sz w:val="20"/>
        </w:rPr>
        <w:t xml:space="preserve">stripe-ios  |  payment  |  high  |  Other  |  None verified  |  Critical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Sentry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information, IP address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Supabase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email, password hash, session data, user metadata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OpenAI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PostHog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session recordings, feature flag usage,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Resend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stripe-ios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