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第二章-文獻探討與研究動機"/>
    <w:p>
      <w:pPr>
        <w:pStyle w:val="1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文獻探討與研究動機</w:t>
      </w:r>
    </w:p>
    <w:p>
      <w:pPr>
        <w:pStyle w:val="FirstParagraph"/>
      </w:pPr>
      <w:r>
        <w:rPr>
          <w:rFonts w:hint="eastAsia"/>
        </w:rPr>
        <w:t xml:space="preserve">本章回顧相關文獻，首先以總覽呈現全貌，接著依序探討三高疾病預測研究、縱向資料與變化量特徵工程，以及類別不平衡處理方法，最後識別研究缺口以闡述本研究動機與定位。各模型理論與實作詳見第五章。</w:t>
      </w:r>
    </w:p>
    <w:bookmarkStart w:id="18" w:name="相關研究總覽"/>
    <w:p>
      <w:pPr>
        <w:pStyle w:val="2"/>
      </w:pPr>
      <w:r>
        <w:t xml:space="preserve">2.1 </w:t>
      </w:r>
      <w:r>
        <w:rPr>
          <w:rFonts w:hint="eastAsia"/>
        </w:rPr>
        <w:t xml:space="preserve">相關研究總覽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2-1 </w:t>
      </w:r>
      <w:r>
        <w:rPr>
          <w:rFonts w:hint="eastAsia"/>
        </w:rPr>
        <w:t xml:space="preserve">彙整主要相關文獻，以</w:t>
      </w:r>
      <w:r>
        <w:t xml:space="preserve"> AUC </w:t>
      </w:r>
      <w:r>
        <w:rPr>
          <w:rFonts w:hint="eastAsia"/>
        </w:rPr>
        <w:t xml:space="preserve">作為效能比較基準。</w:t>
      </w:r>
    </w:p>
    <w:p>
      <w:pPr>
        <w:pStyle w:val="a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2-1 </w:t>
      </w:r>
      <w:r>
        <w:rPr>
          <w:rFonts w:hint="eastAsia"/>
          <w:b/>
          <w:bCs/>
        </w:rPr>
        <w:t xml:space="preserve">相關研究比較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1164"/>
        <w:gridCol w:w="1164"/>
        <w:gridCol w:w="931"/>
        <w:gridCol w:w="1164"/>
        <w:gridCol w:w="1164"/>
        <w:gridCol w:w="931"/>
        <w:gridCol w:w="69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預測目標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資料來源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樣本數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最佳模型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Δ </w:t>
            </w:r>
            <w:r>
              <w:rPr>
                <w:rFonts w:hint="eastAsia"/>
              </w:rPr>
              <w:t xml:space="preserve">特徵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設計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 et al.</w:t>
            </w:r>
            <w:r>
              <w:t xml:space="preserve">(2018)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美國緬因州</w:t>
            </w:r>
            <w:r>
              <w:t xml:space="preserve"> (Maine) EHR</w:t>
            </w:r>
          </w:p>
        </w:tc>
        <w:tc>
          <w:tcPr/>
          <w:p>
            <w:pPr>
              <w:pStyle w:val="Compact"/>
            </w:pPr>
            <w:r>
              <w:t xml:space="preserve">823,627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0.917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縱向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Alaa et al.</w:t>
            </w:r>
            <w:r>
              <w:t xml:space="preserve">(2019)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心血管疾病</w:t>
            </w:r>
          </w:p>
        </w:tc>
        <w:tc>
          <w:tcPr/>
          <w:p>
            <w:pPr>
              <w:pStyle w:val="Compact"/>
            </w:pPr>
            <w:r>
              <w:t xml:space="preserve">UK Biobank</w:t>
            </w:r>
          </w:p>
        </w:tc>
        <w:tc>
          <w:tcPr/>
          <w:p>
            <w:pPr>
              <w:pStyle w:val="Compact"/>
            </w:pPr>
            <w:r>
              <w:t xml:space="preserve">423,604</w:t>
            </w:r>
          </w:p>
        </w:tc>
        <w:tc>
          <w:tcPr/>
          <w:p>
            <w:pPr>
              <w:pStyle w:val="Compact"/>
            </w:pPr>
            <w:r>
              <w:t xml:space="preserve">AutoPrognosis</w:t>
            </w:r>
          </w:p>
        </w:tc>
        <w:tc>
          <w:tcPr/>
          <w:p>
            <w:pPr>
              <w:pStyle w:val="Compact"/>
            </w:pPr>
            <w:r>
              <w:t xml:space="preserve">0.774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縱向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Dinh et al.</w:t>
            </w:r>
            <w:r>
              <w:t xml:space="preserve">(2019)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糖尿病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NHANES（註1）</w:t>
            </w:r>
          </w:p>
        </w:tc>
        <w:tc>
          <w:tcPr/>
          <w:p>
            <w:pPr>
              <w:pStyle w:val="Compact"/>
            </w:pPr>
            <w:r>
              <w:t xml:space="preserve">21,131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0.862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橫斷面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Kanegae et al.</w:t>
            </w:r>
            <w:r>
              <w:t xml:space="preserve">(2020)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日本職場健檢</w:t>
            </w:r>
          </w:p>
        </w:tc>
        <w:tc>
          <w:tcPr/>
          <w:p>
            <w:pPr>
              <w:pStyle w:val="Compact"/>
            </w:pPr>
            <w:r>
              <w:t xml:space="preserve">18,258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0.881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縱向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Hung et al.</w:t>
            </w:r>
            <w:r>
              <w:t xml:space="preserve">(2021)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隱匿性高血壓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台灣醫院</w:t>
            </w:r>
          </w:p>
        </w:tc>
        <w:tc>
          <w:tcPr/>
          <w:p>
            <w:pPr>
              <w:pStyle w:val="Compact"/>
            </w:pPr>
            <w:r>
              <w:t xml:space="preserve">1,386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0.851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橫斷面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Liu et al.</w:t>
            </w:r>
            <w:r>
              <w:t xml:space="preserve">(2024)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糖尿病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台中榮總</w:t>
            </w:r>
            <w:r>
              <w:t xml:space="preserve"> EHR</w:t>
            </w:r>
          </w:p>
        </w:tc>
        <w:tc>
          <w:tcPr/>
          <w:p>
            <w:pPr>
              <w:pStyle w:val="Compact"/>
            </w:pPr>
            <w:r>
              <w:t xml:space="preserve">6,687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0.930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縱向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 et al.</w:t>
            </w:r>
            <w:r>
              <w:t xml:space="preserve">(2024)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台灣美兆</w:t>
            </w:r>
          </w:p>
        </w:tc>
        <w:tc>
          <w:tcPr/>
          <w:p>
            <w:pPr>
              <w:pStyle w:val="Compact"/>
            </w:pPr>
            <w:r>
              <w:t xml:space="preserve">207,488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0.889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縱向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Yang et al.</w:t>
            </w:r>
            <w:r>
              <w:t xml:space="preserve">(2025)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前驅糖尿病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台灣美兆</w:t>
            </w:r>
          </w:p>
        </w:tc>
        <w:tc>
          <w:tcPr/>
          <w:p>
            <w:pPr>
              <w:pStyle w:val="Compact"/>
            </w:pPr>
            <w:r>
              <w:t xml:space="preserve">6,247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縱向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Majcherek et al.</w:t>
            </w:r>
            <w:r>
              <w:t xml:space="preserve">(2025)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糖尿病</w:t>
            </w:r>
          </w:p>
        </w:tc>
        <w:tc>
          <w:tcPr/>
          <w:p>
            <w:pPr>
              <w:pStyle w:val="Compact"/>
            </w:pPr>
            <w:r>
              <w:t xml:space="preserve">BRFSS</w:t>
            </w:r>
            <w:r>
              <w:rPr>
                <w:rFonts w:hint="eastAsia"/>
              </w:rPr>
              <w:t xml:space="preserve">(美國)</w:t>
            </w:r>
          </w:p>
        </w:tc>
        <w:tc>
          <w:tcPr/>
          <w:p>
            <w:pPr>
              <w:pStyle w:val="Compact"/>
            </w:pPr>
            <w:r>
              <w:t xml:space="preserve">253,680</w:t>
            </w:r>
          </w:p>
        </w:tc>
        <w:tc>
          <w:tcPr/>
          <w:p>
            <w:pPr>
              <w:pStyle w:val="Compact"/>
            </w:pPr>
            <w:r>
              <w:t xml:space="preserve">Extra Trees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橫斷面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三高（同時）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杭州社區調查</w:t>
            </w:r>
          </w:p>
        </w:tc>
        <w:tc>
          <w:tcPr/>
          <w:p>
            <w:pPr>
              <w:pStyle w:val="Compact"/>
            </w:pPr>
            <w:r>
              <w:t xml:space="preserve">6,056</w:t>
            </w:r>
          </w:p>
        </w:tc>
        <w:tc>
          <w:tcPr/>
          <w:p>
            <w:pPr>
              <w:pStyle w:val="Compact"/>
            </w:pPr>
            <w:r>
              <w:t xml:space="preserve">LR / XGBoost</w:t>
            </w:r>
          </w:p>
        </w:tc>
        <w:tc>
          <w:tcPr/>
          <w:p>
            <w:pPr>
              <w:pStyle w:val="Compact"/>
            </w:pPr>
            <w:r>
              <w:t xml:space="preserve">0.721–0.938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縱向</w:t>
            </w:r>
          </w:p>
        </w:tc>
      </w:tr>
    </w:tbl>
    <w:p>
      <w:pPr>
        <w:pStyle w:val="a0"/>
      </w:pPr>
      <w:r>
        <w:rPr>
          <w:rFonts w:hint="eastAsia"/>
        </w:rPr>
        <w:t xml:space="preserve">註1：NHANES</w:t>
      </w:r>
      <w:r>
        <w:t xml:space="preserve"> = </w:t>
      </w:r>
      <w:r>
        <w:rPr>
          <w:rFonts w:hint="eastAsia"/>
        </w:rPr>
        <w:t xml:space="preserve">美國國家健康與營養調查（National</w:t>
      </w:r>
      <w:r>
        <w:t xml:space="preserve"> Health and Nutrition Examination </w:t>
      </w:r>
      <w:r>
        <w:rPr>
          <w:rFonts w:hint="eastAsia"/>
        </w:rPr>
        <w:t xml:space="preserve">Survey）。</w:t>
      </w:r>
    </w:p>
    <w:p>
      <w:pPr>
        <w:pStyle w:val="a0"/>
      </w:pPr>
      <w:r>
        <w:rPr>
          <w:rFonts w:hint="eastAsia"/>
        </w:rPr>
        <w:t xml:space="preserve">由表可觀察到：（1）XGBoost</w:t>
      </w:r>
      <w:r>
        <w:t xml:space="preserve"> </w:t>
      </w:r>
      <w:r>
        <w:rPr>
          <w:rFonts w:hint="eastAsia"/>
        </w:rPr>
        <w:t xml:space="preserve">為多數研究的最佳模型；（2）使用</w:t>
      </w:r>
      <w:r>
        <w:t xml:space="preserve"> Δ </w:t>
      </w:r>
      <w:r>
        <w:rPr>
          <w:rFonts w:hint="eastAsia"/>
        </w:rPr>
        <w:t xml:space="preserve">特徵者仍屬少數（僅</w:t>
      </w:r>
      <w:r>
        <w:t xml:space="preserve"> Kanegae、Yang </w:t>
      </w:r>
      <w:r>
        <w:rPr>
          <w:rFonts w:hint="eastAsia"/>
        </w:rPr>
        <w:t xml:space="preserve">與本研究）；（3）多數研究僅預測單一疾病，同時涵蓋三高者甚少。各研究詳見後續各節。</w:t>
      </w:r>
    </w:p>
    <w:bookmarkEnd w:id="18"/>
    <w:bookmarkStart w:id="22" w:name="三高疾病預測研究"/>
    <w:p>
      <w:pPr>
        <w:pStyle w:val="2"/>
      </w:pPr>
      <w:r>
        <w:t xml:space="preserve">2.2 </w:t>
      </w:r>
      <w:r>
        <w:rPr>
          <w:rFonts w:hint="eastAsia"/>
        </w:rPr>
        <w:t xml:space="preserve">三高疾病預測研究</w:t>
      </w:r>
    </w:p>
    <w:p>
      <w:pPr>
        <w:pStyle w:val="FirstParagraph"/>
      </w:pPr>
      <w:r>
        <w:rPr>
          <w:rFonts w:hint="eastAsia"/>
        </w:rPr>
        <w:t xml:space="preserve">本研究使用的資料集來自</w:t>
      </w:r>
      <w:r>
        <w:t xml:space="preserve"> Luo et al. (2024) </w:t>
      </w:r>
      <w:r>
        <w:rPr>
          <w:rFonts w:hint="eastAsia"/>
        </w:rPr>
        <w:t xml:space="preserve">之公開資料，三高疾病的確診狀態依據以下標準標記：高血壓定義為收縮壓（Systolic</w:t>
      </w:r>
      <w:r>
        <w:t xml:space="preserve"> Blood Pressure, </w:t>
      </w:r>
      <w:r>
        <w:rPr>
          <w:rFonts w:hint="eastAsia"/>
        </w:rPr>
        <w:t xml:space="preserve">SBP）≥</w:t>
      </w:r>
      <w:r>
        <w:t xml:space="preserve"> 140 </w:t>
      </w:r>
      <w:r>
        <w:rPr>
          <w:rFonts w:hint="eastAsia"/>
        </w:rPr>
        <w:t xml:space="preserve">或舒張壓（Diastolic</w:t>
      </w:r>
      <w:r>
        <w:t xml:space="preserve"> Blood Pressure, </w:t>
      </w:r>
      <w:r>
        <w:rPr>
          <w:rFonts w:hint="eastAsia"/>
        </w:rPr>
        <w:t xml:space="preserve">DBP）≥</w:t>
      </w:r>
      <w:r>
        <w:t xml:space="preserve"> 90 </w:t>
      </w:r>
      <w:r>
        <w:rPr>
          <w:rFonts w:hint="eastAsia"/>
        </w:rPr>
        <w:t xml:space="preserve">mmHg，或已確診且正在服用降壓藥物；高血糖定義為空腹血糖（Fasting</w:t>
      </w:r>
      <w:r>
        <w:t xml:space="preserve"> Blood Glucose, </w:t>
      </w:r>
      <w:r>
        <w:rPr>
          <w:rFonts w:hint="eastAsia"/>
        </w:rPr>
        <w:t xml:space="preserve">FBG）≥</w:t>
      </w:r>
      <w:r>
        <w:t xml:space="preserve"> 7.0 mmol/L </w:t>
      </w:r>
      <w:r>
        <w:rPr>
          <w:rFonts w:hint="eastAsia"/>
        </w:rPr>
        <w:t xml:space="preserve">或自我報告糖尿病；高血脂定義為總膽固醇（Total</w:t>
      </w:r>
      <w:r>
        <w:t xml:space="preserve"> Cholesterol, </w:t>
      </w:r>
      <w:r>
        <w:rPr>
          <w:rFonts w:hint="eastAsia"/>
        </w:rPr>
        <w:t xml:space="preserve">TC）≥</w:t>
      </w:r>
      <w:r>
        <w:t xml:space="preserve"> 6.22 </w:t>
      </w:r>
      <w:r>
        <w:rPr>
          <w:rFonts w:hint="eastAsia"/>
        </w:rPr>
        <w:t xml:space="preserve">mmol/L。上述閾值與國際通用的診斷標準一致（James</w:t>
      </w:r>
      <w:r>
        <w:t xml:space="preserve"> et al., </w:t>
      </w:r>
      <w:r>
        <w:rPr>
          <w:rFonts w:hint="eastAsia"/>
        </w:rPr>
        <w:t xml:space="preserve">2014；ADA,</w:t>
      </w:r>
      <w:r>
        <w:t xml:space="preserve"> </w:t>
      </w:r>
      <w:r>
        <w:rPr>
          <w:rFonts w:hint="eastAsia"/>
        </w:rPr>
        <w:t xml:space="preserve">2025；NCEP,</w:t>
      </w:r>
      <w:r>
        <w:t xml:space="preserve"> </w:t>
      </w:r>
      <w:r>
        <w:rPr>
          <w:rFonts w:hint="eastAsia"/>
        </w:rPr>
        <w:t xml:space="preserve">2002）。</w:t>
      </w:r>
    </w:p>
    <w:bookmarkStart w:id="19" w:name="高血壓預測"/>
    <w:p>
      <w:pPr>
        <w:pStyle w:val="3"/>
      </w:pPr>
      <w:r>
        <w:t xml:space="preserve">2.2.1 </w:t>
      </w:r>
      <w:r>
        <w:rPr>
          <w:rFonts w:hint="eastAsia"/>
        </w:rPr>
        <w:t xml:space="preserve">高血壓預測</w:t>
      </w:r>
    </w:p>
    <w:p>
      <w:pPr>
        <w:pStyle w:val="FirstParagraph"/>
      </w:pPr>
      <w:r>
        <w:t xml:space="preserve">Sun et al. (2017) </w:t>
      </w:r>
      <w:r>
        <w:rPr>
          <w:rFonts w:hint="eastAsia"/>
        </w:rPr>
        <w:t xml:space="preserve">系統性回顧了</w:t>
      </w:r>
      <w:r>
        <w:t xml:space="preserve"> 26 </w:t>
      </w:r>
      <w:r>
        <w:rPr>
          <w:rFonts w:hint="eastAsia"/>
        </w:rPr>
        <w:t xml:space="preserve">篇高血壓預測研究，共涵蓋</w:t>
      </w:r>
      <w:r>
        <w:t xml:space="preserve"> 48 </w:t>
      </w:r>
      <w:r>
        <w:rPr>
          <w:rFonts w:hint="eastAsia"/>
        </w:rPr>
        <w:t xml:space="preserve">個預測模型。該回顧指出，常見的風險因子包括身體質量指數（Body</w:t>
      </w:r>
      <w:r>
        <w:t xml:space="preserve"> Mass Index, </w:t>
      </w:r>
      <w:r>
        <w:rPr>
          <w:rFonts w:hint="eastAsia"/>
        </w:rPr>
        <w:t xml:space="preserve">BMI）、年齡、血壓水平、吸菸與家族史等，而統計方法以</w:t>
      </w:r>
      <w:r>
        <w:t xml:space="preserve"> Logistic </w:t>
      </w:r>
      <w:r>
        <w:rPr>
          <w:rFonts w:hint="eastAsia"/>
        </w:rPr>
        <w:t xml:space="preserve">Regression（12</w:t>
      </w:r>
      <w:r>
        <w:t xml:space="preserve"> </w:t>
      </w:r>
      <w:r>
        <w:rPr>
          <w:rFonts w:hint="eastAsia"/>
        </w:rPr>
        <w:t xml:space="preserve">篇）、COX</w:t>
      </w:r>
      <w:r>
        <w:t xml:space="preserve"> </w:t>
      </w:r>
      <w:r>
        <w:rPr>
          <w:rFonts w:hint="eastAsia"/>
        </w:rPr>
        <w:t xml:space="preserve">Regression（7</w:t>
      </w:r>
      <w:r>
        <w:t xml:space="preserve"> </w:t>
      </w:r>
      <w:r>
        <w:rPr>
          <w:rFonts w:hint="eastAsia"/>
        </w:rPr>
        <w:t xml:space="preserve">篇）和</w:t>
      </w:r>
      <w:r>
        <w:t xml:space="preserve"> Weibull </w:t>
      </w:r>
      <w:r>
        <w:rPr>
          <w:rFonts w:hint="eastAsia"/>
        </w:rPr>
        <w:t xml:space="preserve">Regression（6</w:t>
      </w:r>
      <w:r>
        <w:t xml:space="preserve"> </w:t>
      </w:r>
      <w:r>
        <w:rPr>
          <w:rFonts w:hint="eastAsia"/>
        </w:rPr>
        <w:t xml:space="preserve">篇）為主，顯示傳統統計方法在該領域長期居於主流地位。</w:t>
      </w:r>
    </w:p>
    <w:p>
      <w:pPr>
        <w:pStyle w:val="a0"/>
      </w:pPr>
      <w:r>
        <w:rPr>
          <w:rFonts w:hint="eastAsia"/>
        </w:rPr>
        <w:t xml:space="preserve">近年來，機器學習方法逐漸被引入高血壓預測。Kanegae</w:t>
      </w:r>
      <w:r>
        <w:t xml:space="preserve"> et al. (2020) </w:t>
      </w:r>
      <w:r>
        <w:rPr>
          <w:rFonts w:hint="eastAsia"/>
        </w:rPr>
        <w:t xml:space="preserve">使用日本職場健檢資料（18,258</w:t>
      </w:r>
      <w:r>
        <w:t xml:space="preserve"> </w:t>
      </w:r>
      <w:r>
        <w:rPr>
          <w:rFonts w:hint="eastAsia"/>
        </w:rPr>
        <w:t xml:space="preserve">人）建立高血壓預測模型，採用</w:t>
      </w:r>
      <w:r>
        <w:t xml:space="preserve"> XGBoost </w:t>
      </w:r>
      <w:r>
        <w:rPr>
          <w:rFonts w:hint="eastAsia"/>
        </w:rPr>
        <w:t xml:space="preserve">和</w:t>
      </w:r>
      <w:r>
        <w:t xml:space="preserve"> Ensemble </w:t>
      </w:r>
      <w:r>
        <w:rPr>
          <w:rFonts w:hint="eastAsia"/>
        </w:rPr>
        <w:t xml:space="preserve">方法，達到</w:t>
      </w:r>
      <w:r>
        <w:t xml:space="preserve"> AUC </w:t>
      </w:r>
      <w:r>
        <w:rPr>
          <w:rFonts w:hint="eastAsia"/>
        </w:rPr>
        <w:t xml:space="preserve">0.881。該研究的重要貢獻在於使用縱向變化量特徵（Year(-2)</w:t>
      </w:r>
      <w:r>
        <w:t xml:space="preserve"> → Year(-1) → </w:t>
      </w:r>
      <w:r>
        <w:rPr>
          <w:rFonts w:hint="eastAsia"/>
        </w:rPr>
        <w:t xml:space="preserve">Year(0)），證明</w:t>
      </w:r>
      <w:r>
        <w:t xml:space="preserve"> Δ </w:t>
      </w:r>
      <w:r>
        <w:rPr>
          <w:rFonts w:hint="eastAsia"/>
        </w:rPr>
        <w:t xml:space="preserve">特徵在高血壓預測上的有效性。</w:t>
      </w:r>
    </w:p>
    <w:p>
      <w:pPr>
        <w:pStyle w:val="a0"/>
      </w:pPr>
      <w:r>
        <w:t xml:space="preserve">Ye et al. (2018) </w:t>
      </w:r>
      <w:r>
        <w:rPr>
          <w:rFonts w:hint="eastAsia"/>
        </w:rPr>
        <w:t xml:space="preserve">使用美國緬因州</w:t>
      </w:r>
      <w:r>
        <w:t xml:space="preserve"> (Maine) </w:t>
      </w:r>
      <w:r>
        <w:rPr>
          <w:rFonts w:hint="eastAsia"/>
        </w:rPr>
        <w:t xml:space="preserve">的電子健康紀錄（Electronic</w:t>
      </w:r>
      <w:r>
        <w:t xml:space="preserve"> Health Record, </w:t>
      </w:r>
      <w:r>
        <w:rPr>
          <w:rFonts w:hint="eastAsia"/>
        </w:rPr>
        <w:t xml:space="preserve">EHR），以</w:t>
      </w:r>
      <w:r>
        <w:t xml:space="preserve"> 823,627 </w:t>
      </w:r>
      <w:r>
        <w:rPr>
          <w:rFonts w:hint="eastAsia"/>
        </w:rPr>
        <w:t xml:space="preserve">人的回顧性資料和</w:t>
      </w:r>
      <w:r>
        <w:t xml:space="preserve"> 680,810 </w:t>
      </w:r>
      <w:r>
        <w:rPr>
          <w:rFonts w:hint="eastAsia"/>
        </w:rPr>
        <w:t xml:space="preserve">人的前瞻性資料，採用</w:t>
      </w:r>
      <w:r>
        <w:t xml:space="preserve"> XGBoost </w:t>
      </w:r>
      <w:r>
        <w:rPr>
          <w:rFonts w:hint="eastAsia"/>
        </w:rPr>
        <w:t xml:space="preserve">建立一年期高血壓預測模型，回顧性驗證</w:t>
      </w:r>
      <w:r>
        <w:t xml:space="preserve"> AUC </w:t>
      </w:r>
      <w:r>
        <w:rPr>
          <w:rFonts w:hint="eastAsia"/>
        </w:rPr>
        <w:t xml:space="preserve">達</w:t>
      </w:r>
      <w:r>
        <w:t xml:space="preserve"> </w:t>
      </w:r>
      <w:r>
        <w:rPr>
          <w:rFonts w:hint="eastAsia"/>
        </w:rPr>
        <w:t xml:space="preserve">0.917，前瞻性驗證</w:t>
      </w:r>
      <w:r>
        <w:t xml:space="preserve"> AUC </w:t>
      </w:r>
      <w:r>
        <w:rPr>
          <w:rFonts w:hint="eastAsia"/>
        </w:rPr>
        <w:t xml:space="preserve">為</w:t>
      </w:r>
      <w:r>
        <w:t xml:space="preserve"> </w:t>
      </w:r>
      <w:r>
        <w:rPr>
          <w:rFonts w:hint="eastAsia"/>
        </w:rPr>
        <w:t xml:space="preserve">0.870。然而，後續評論指出該研究的前五名重要特徵均為降壓藥物，可能存在資料洩漏問題，提醒研究者在特徵選擇時需審慎避免將結果資訊混入預測因子。</w:t>
      </w:r>
    </w:p>
    <w:p>
      <w:pPr>
        <w:pStyle w:val="a0"/>
      </w:pPr>
      <w:r>
        <w:t xml:space="preserve">Wang et al. (2024) </w:t>
      </w:r>
      <w:r>
        <w:rPr>
          <w:rFonts w:hint="eastAsia"/>
        </w:rPr>
        <w:t xml:space="preserve">使用台灣美兆（MJ）健檢資料進行大規模研究（207,488</w:t>
      </w:r>
      <w:r>
        <w:t xml:space="preserve"> </w:t>
      </w:r>
      <w:r>
        <w:rPr>
          <w:rFonts w:hint="eastAsia"/>
        </w:rPr>
        <w:t xml:space="preserve">人），發現健檢次數越多，預測準確度越高（4</w:t>
      </w:r>
      <w:r>
        <w:t xml:space="preserve"> </w:t>
      </w:r>
      <w:r>
        <w:rPr>
          <w:rFonts w:hint="eastAsia"/>
        </w:rPr>
        <w:t xml:space="preserve">次以上最佳），達到</w:t>
      </w:r>
      <w:r>
        <w:t xml:space="preserve"> AUC </w:t>
      </w:r>
      <w:r>
        <w:rPr>
          <w:rFonts w:hint="eastAsia"/>
        </w:rPr>
        <w:t xml:space="preserve">0.889。此研究支持多時間點特徵串接的設計理念，與本研究的縱向設計概念一致。</w:t>
      </w:r>
    </w:p>
    <w:bookmarkEnd w:id="19"/>
    <w:bookmarkStart w:id="20" w:name="高血糖與糖尿病預測"/>
    <w:p>
      <w:pPr>
        <w:pStyle w:val="3"/>
      </w:pPr>
      <w:r>
        <w:t xml:space="preserve">2.2.2 </w:t>
      </w:r>
      <w:r>
        <w:rPr>
          <w:rFonts w:hint="eastAsia"/>
        </w:rPr>
        <w:t xml:space="preserve">高血糖與糖尿病預測</w:t>
      </w:r>
    </w:p>
    <w:p>
      <w:pPr>
        <w:pStyle w:val="FirstParagraph"/>
      </w:pPr>
      <w:r>
        <w:t xml:space="preserve">Liu et al. (2024) </w:t>
      </w:r>
      <w:r>
        <w:rPr>
          <w:rFonts w:hint="eastAsia"/>
        </w:rPr>
        <w:t xml:space="preserve">使用台中榮總電子病歷（6,687</w:t>
      </w:r>
      <w:r>
        <w:t xml:space="preserve"> </w:t>
      </w:r>
      <w:r>
        <w:rPr>
          <w:rFonts w:hint="eastAsia"/>
        </w:rPr>
        <w:t xml:space="preserve">人，追蹤</w:t>
      </w:r>
      <w:r>
        <w:t xml:space="preserve"> 10 </w:t>
      </w:r>
      <w:r>
        <w:rPr>
          <w:rFonts w:hint="eastAsia"/>
        </w:rPr>
        <w:t xml:space="preserve">年），以</w:t>
      </w:r>
      <w:r>
        <w:t xml:space="preserve"> XGBoost </w:t>
      </w:r>
      <w:r>
        <w:rPr>
          <w:rFonts w:hint="eastAsia"/>
        </w:rPr>
        <w:t xml:space="preserve">達到</w:t>
      </w:r>
      <w:r>
        <w:t xml:space="preserve"> AUC </w:t>
      </w:r>
      <w:r>
        <w:rPr>
          <w:rFonts w:hint="eastAsia"/>
        </w:rPr>
        <w:t xml:space="preserve">0.93，關鍵特徵包括糖化血色素（Glycated</w:t>
      </w:r>
      <w:r>
        <w:t xml:space="preserve"> Hemoglobin, </w:t>
      </w:r>
      <w:r>
        <w:rPr>
          <w:rFonts w:hint="eastAsia"/>
        </w:rPr>
        <w:t xml:space="preserve">HbA1c）、空腹血糖、體重等。</w:t>
      </w:r>
    </w:p>
    <w:p>
      <w:pPr>
        <w:pStyle w:val="a0"/>
      </w:pPr>
      <w:r>
        <w:t xml:space="preserve">Yang et al. (2025) </w:t>
      </w:r>
      <w:r>
        <w:rPr>
          <w:rFonts w:hint="eastAsia"/>
        </w:rPr>
        <w:t xml:space="preserve">同樣使用</w:t>
      </w:r>
      <w:r>
        <w:t xml:space="preserve"> MJ </w:t>
      </w:r>
      <w:r>
        <w:rPr>
          <w:rFonts w:hint="eastAsia"/>
        </w:rPr>
        <w:t xml:space="preserve">健檢資料（6,247</w:t>
      </w:r>
      <w:r>
        <w:t xml:space="preserve"> </w:t>
      </w:r>
      <w:r>
        <w:rPr>
          <w:rFonts w:hint="eastAsia"/>
        </w:rPr>
        <w:t xml:space="preserve">位</w:t>
      </w:r>
      <w:r>
        <w:t xml:space="preserve"> 18-35 </w:t>
      </w:r>
      <w:r>
        <w:rPr>
          <w:rFonts w:hint="eastAsia"/>
        </w:rPr>
        <w:t xml:space="preserve">歲男性），提出雙框架設計同時預測血糖變化量（δ-FPG）與前驅糖尿病風險。研究發現基線空腹血糖（FPGbase）對預測</w:t>
      </w:r>
      <w:r>
        <w:t xml:space="preserve"> δ-FPG </w:t>
      </w:r>
      <w:r>
        <w:rPr>
          <w:rFonts w:hint="eastAsia"/>
        </w:rPr>
        <w:t xml:space="preserve">的重要性達</w:t>
      </w:r>
      <w:r>
        <w:t xml:space="preserve"> </w:t>
      </w:r>
      <w:r>
        <w:rPr>
          <w:rFonts w:hint="eastAsia"/>
        </w:rPr>
        <w:t xml:space="preserve">100%，遠超第二名體脂肪的</w:t>
      </w:r>
      <w:r>
        <w:t xml:space="preserve"> </w:t>
      </w:r>
      <w:r>
        <w:rPr>
          <w:rFonts w:hint="eastAsia"/>
        </w:rPr>
        <w:t xml:space="preserve">17.64%，顯示縱向血糖變化具有高度可預測性。本研究的</w:t>
      </w:r>
      <w:r>
        <w:t xml:space="preserve"> Δ </w:t>
      </w:r>
      <w:r>
        <w:rPr>
          <w:rFonts w:hint="eastAsia"/>
        </w:rPr>
        <w:t xml:space="preserve">特徵設計即參考此概念。</w:t>
      </w:r>
    </w:p>
    <w:bookmarkEnd w:id="20"/>
    <w:bookmarkStart w:id="21" w:name="高血脂預測"/>
    <w:p>
      <w:pPr>
        <w:pStyle w:val="3"/>
      </w:pPr>
      <w:r>
        <w:t xml:space="preserve">2.2.3 </w:t>
      </w:r>
      <w:r>
        <w:rPr>
          <w:rFonts w:hint="eastAsia"/>
        </w:rPr>
        <w:t xml:space="preserve">高血脂預測</w:t>
      </w:r>
    </w:p>
    <w:p>
      <w:pPr>
        <w:pStyle w:val="FirstParagraph"/>
      </w:pPr>
      <w:r>
        <w:rPr>
          <w:rFonts w:hint="eastAsia"/>
        </w:rPr>
        <w:t xml:space="preserve">相較於高血壓與糖尿病，高血脂的機器學習預測研究較少。多數研究將高血脂作為心血管疾病的風險因子，而非獨立的預測目標。本研究將高血脂納入三高同時預測的框架中，填補此研究缺口。</w:t>
      </w:r>
    </w:p>
    <w:bookmarkEnd w:id="21"/>
    <w:bookmarkEnd w:id="22"/>
    <w:bookmarkStart w:id="25" w:name="縱向資料分析與變化量特徵"/>
    <w:p>
      <w:pPr>
        <w:pStyle w:val="2"/>
      </w:pPr>
      <w:r>
        <w:t xml:space="preserve">2.3 </w:t>
      </w:r>
      <w:r>
        <w:rPr>
          <w:rFonts w:hint="eastAsia"/>
        </w:rPr>
        <w:t xml:space="preserve">縱向資料分析與變化量特徵</w:t>
      </w:r>
    </w:p>
    <w:bookmarkStart w:id="23" w:name="縱向研究設計"/>
    <w:p>
      <w:pPr>
        <w:pStyle w:val="3"/>
      </w:pPr>
      <w:r>
        <w:t xml:space="preserve">2.3.1 </w:t>
      </w:r>
      <w:r>
        <w:rPr>
          <w:rFonts w:hint="eastAsia"/>
        </w:rPr>
        <w:t xml:space="preserve">縱向研究設計</w:t>
      </w:r>
    </w:p>
    <w:p>
      <w:pPr>
        <w:pStyle w:val="FirstParagraph"/>
      </w:pPr>
      <w:r>
        <w:rPr>
          <w:rFonts w:hint="eastAsia"/>
        </w:rPr>
        <w:t xml:space="preserve">縱向研究（Longitudinal</w:t>
      </w:r>
      <w:r>
        <w:t xml:space="preserve"> </w:t>
      </w:r>
      <w:r>
        <w:rPr>
          <w:rFonts w:hint="eastAsia"/>
        </w:rPr>
        <w:t xml:space="preserve">Study）追蹤同一群體在不同時間點的變化，相較於橫斷面研究（Cross-sectional</w:t>
      </w:r>
      <w:r>
        <w:t xml:space="preserve"> </w:t>
      </w:r>
      <w:r>
        <w:rPr>
          <w:rFonts w:hint="eastAsia"/>
        </w:rPr>
        <w:t xml:space="preserve">Study）具有以下優勢：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捕捉動態變化</w:t>
      </w:r>
      <w:r>
        <w:rPr>
          <w:rFonts w:hint="eastAsia"/>
        </w:rPr>
        <w:t xml:space="preserve">：能觀察生理指標隨時間的趨勢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時序因果關係</w:t>
      </w:r>
      <w:r>
        <w:rPr>
          <w:rFonts w:hint="eastAsia"/>
        </w:rPr>
        <w:t xml:space="preserve">：可建立預測因子與結果的時間順序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個體內變異</w:t>
      </w:r>
      <w:r>
        <w:rPr>
          <w:rFonts w:hint="eastAsia"/>
        </w:rPr>
        <w:t xml:space="preserve">：控制個體間差異，專注於個體內的變化</w:t>
      </w:r>
    </w:p>
    <w:p>
      <w:pPr>
        <w:pStyle w:val="FirstParagraph"/>
      </w:pPr>
      <w:r>
        <w:rPr>
          <w:rFonts w:hint="eastAsia"/>
        </w:rPr>
        <w:t xml:space="preserve">然而，縱向資料也面臨挑戰，包括追蹤期間的樣本流失、時間間隔不一致、以及缺失值處理等問題。</w:t>
      </w:r>
    </w:p>
    <w:bookmarkEnd w:id="23"/>
    <w:bookmarkStart w:id="24" w:name="變化量特徵工程"/>
    <w:p>
      <w:pPr>
        <w:pStyle w:val="3"/>
      </w:pPr>
      <w:r>
        <w:t xml:space="preserve">2.3.2 </w:t>
      </w:r>
      <w:r>
        <w:rPr>
          <w:rFonts w:hint="eastAsia"/>
        </w:rPr>
        <w:t xml:space="preserve">變化量特徵工程</w:t>
      </w:r>
    </w:p>
    <w:p>
      <w:pPr>
        <w:pStyle w:val="FirstParagraph"/>
      </w:pPr>
      <w:r>
        <w:rPr>
          <w:rFonts w:hint="eastAsia"/>
        </w:rPr>
        <w:t xml:space="preserve">變化量特徵（Delta</w:t>
      </w:r>
      <w:r>
        <w:t xml:space="preserve"> </w:t>
      </w:r>
      <w:r>
        <w:rPr>
          <w:rFonts w:hint="eastAsia"/>
        </w:rPr>
        <w:t xml:space="preserve">Features）定義為兩個時間點之間生理指標的差值：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為第</w:t>
      </w:r>
      <w:r>
        <w:t xml:space="preserve"> j </w:t>
      </w:r>
      <w:r>
        <w:rPr>
          <w:rFonts w:hint="eastAsia"/>
        </w:rPr>
        <w:t xml:space="preserve">個生理指標。Yang</w:t>
      </w:r>
      <w:r>
        <w:t xml:space="preserve"> et al. (2025) </w:t>
      </w:r>
      <w:r>
        <w:rPr>
          <w:rFonts w:hint="eastAsia"/>
        </w:rPr>
        <w:t xml:space="preserve">以</w:t>
      </w:r>
      <w:r>
        <w:t xml:space="preserve"> </w:t>
      </w:r>
      <w:r>
        <w:rPr>
          <w:rFonts w:hint="eastAsia"/>
        </w:rPr>
        <w:t xml:space="preserve">δ-FPG（空腹血糖變化量）作為預測目標，證明縱向變化量具有高度可預測性。Kanegae</w:t>
      </w:r>
      <w:r>
        <w:t xml:space="preserve"> et al. (2020) </w:t>
      </w:r>
      <w:r>
        <w:rPr>
          <w:rFonts w:hint="eastAsia"/>
        </w:rPr>
        <w:t xml:space="preserve">同樣使用</w:t>
      </w:r>
      <w:r>
        <w:t xml:space="preserve"> Δ </w:t>
      </w:r>
      <w:r>
        <w:rPr>
          <w:rFonts w:hint="eastAsia"/>
        </w:rPr>
        <w:t xml:space="preserve">特徵預測高血壓，證明此方法的跨疾病適用性。</w:t>
      </w:r>
    </w:p>
    <w:p>
      <w:pPr>
        <w:pStyle w:val="a0"/>
      </w:pPr>
      <w:r>
        <w:rPr>
          <w:rFonts w:hint="eastAsia"/>
        </w:rPr>
        <w:t xml:space="preserve">本研究採用八個變化量特徵：ΔSBP、ΔDBP、ΔFBG、ΔTC、ΔCr（肌酐酸,</w:t>
      </w:r>
      <w:r>
        <w:t xml:space="preserve"> </w:t>
      </w:r>
      <w:r>
        <w:rPr>
          <w:rFonts w:hint="eastAsia"/>
        </w:rPr>
        <w:t xml:space="preserve">Creatinine）、ΔUA（尿酸,</w:t>
      </w:r>
      <w:r>
        <w:t xml:space="preserve"> Uric </w:t>
      </w:r>
      <w:r>
        <w:rPr>
          <w:rFonts w:hint="eastAsia"/>
        </w:rPr>
        <w:t xml:space="preserve">Acid）、ΔeGFR（腎絲球過濾率,</w:t>
      </w:r>
      <w:r>
        <w:t xml:space="preserve"> estimated Glomerular Filtration </w:t>
      </w:r>
      <w:r>
        <w:rPr>
          <w:rFonts w:hint="eastAsia"/>
        </w:rPr>
        <w:t xml:space="preserve">Rate）、ΔBMI，分別捕捉血壓、血糖、血脂、腎功能與身體質量指數的動態變化。</w:t>
      </w:r>
    </w:p>
    <w:bookmarkEnd w:id="24"/>
    <w:bookmarkEnd w:id="25"/>
    <w:bookmarkStart w:id="28" w:name="類別不平衡處理"/>
    <w:p>
      <w:pPr>
        <w:pStyle w:val="2"/>
      </w:pPr>
      <w:r>
        <w:t xml:space="preserve">2.4 </w:t>
      </w:r>
      <w:r>
        <w:rPr>
          <w:rFonts w:hint="eastAsia"/>
        </w:rPr>
        <w:t xml:space="preserve">類別不平衡處理</w:t>
      </w:r>
    </w:p>
    <w:p>
      <w:pPr>
        <w:pStyle w:val="FirstParagraph"/>
      </w:pPr>
      <w:r>
        <w:rPr>
          <w:rFonts w:hint="eastAsia"/>
        </w:rPr>
        <w:t xml:space="preserve">三高疾病在本研究資料集中的陽性率介於</w:t>
      </w:r>
      <w:r>
        <w:t xml:space="preserve"> 5.5%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16.7%，造成正負類別樣本數量懸殊的類別不平衡（Class</w:t>
      </w:r>
      <w:r>
        <w:t xml:space="preserve"> </w:t>
      </w:r>
      <w:r>
        <w:rPr>
          <w:rFonts w:hint="eastAsia"/>
        </w:rPr>
        <w:t xml:space="preserve">Imbalance）問題。在此情境下，模型容易偏向預測多數類（健康），導致少數類（患病）的識別率低落。He</w:t>
      </w:r>
      <w:r>
        <w:t xml:space="preserve"> &amp; Garcia (2009) </w:t>
      </w:r>
      <w:r>
        <w:rPr>
          <w:rFonts w:hint="eastAsia"/>
        </w:rPr>
        <w:t xml:space="preserve">將類別不平衡的處理策略歸納為兩大層面：資料層面與演算法層面。</w:t>
      </w:r>
    </w:p>
    <w:bookmarkStart w:id="26" w:name="資料層面方法"/>
    <w:p>
      <w:pPr>
        <w:pStyle w:val="3"/>
      </w:pPr>
      <w:r>
        <w:t xml:space="preserve">2.4.1 </w:t>
      </w:r>
      <w:r>
        <w:rPr>
          <w:rFonts w:hint="eastAsia"/>
        </w:rPr>
        <w:t xml:space="preserve">資料層面方法</w:t>
      </w:r>
    </w:p>
    <w:p>
      <w:pPr>
        <w:pStyle w:val="FirstParagraph"/>
      </w:pPr>
      <w:r>
        <w:rPr>
          <w:rFonts w:hint="eastAsia"/>
        </w:rPr>
        <w:t xml:space="preserve">資料層面方法透過調整訓練資料的類別分佈來緩解不平衡問題，主要包括過採樣（Over-sampling）與欠採樣（Under-sampling）兩類策略。</w:t>
      </w:r>
    </w:p>
    <w:p>
      <w:pPr>
        <w:pStyle w:val="a0"/>
      </w:pPr>
      <w:r>
        <w:rPr>
          <w:rFonts w:hint="eastAsia"/>
          <w:b/>
          <w:bCs/>
        </w:rPr>
        <w:t xml:space="preserve">過採樣</w:t>
      </w:r>
      <w:r>
        <w:rPr>
          <w:rFonts w:hint="eastAsia"/>
        </w:rPr>
        <w:t xml:space="preserve">方面，SMOTE（Synthetic</w:t>
      </w:r>
      <w:r>
        <w:t xml:space="preserve"> Minority Over-sampling </w:t>
      </w:r>
      <w:r>
        <w:rPr>
          <w:rFonts w:hint="eastAsia"/>
        </w:rPr>
        <w:t xml:space="preserve">Technique）是最具代表性的方法（Chawla</w:t>
      </w:r>
      <w:r>
        <w:t xml:space="preserve"> et al., </w:t>
      </w:r>
      <w:r>
        <w:rPr>
          <w:rFonts w:hint="eastAsia"/>
        </w:rPr>
        <w:t xml:space="preserve">2002）。SMOTE</w:t>
      </w:r>
      <w:r>
        <w:t xml:space="preserve"> </w:t>
      </w:r>
      <w:r>
        <w:rPr>
          <w:rFonts w:hint="eastAsia"/>
        </w:rPr>
        <w:t xml:space="preserve">透過在少數類樣本的特徵空間中進行線性內插，生成合成樣本，避免了簡單複製造成的過擬合問題。其衍生方法包括</w:t>
      </w:r>
      <w:r>
        <w:t xml:space="preserve"> </w:t>
      </w:r>
      <w:r>
        <w:rPr>
          <w:rFonts w:hint="eastAsia"/>
        </w:rPr>
        <w:t xml:space="preserve">Borderline-SMOTE（僅對邊界樣本進行合成）和</w:t>
      </w:r>
      <w:r>
        <w:t xml:space="preserve"> </w:t>
      </w:r>
      <w:r>
        <w:rPr>
          <w:rFonts w:hint="eastAsia"/>
        </w:rPr>
        <w:t xml:space="preserve">ADASYN（根據樣本學習難度自適應生成）。然而，過採樣方法可能引入雜訊樣本，且在高維特徵空間中，合成樣本的品質難以保證。</w:t>
      </w:r>
    </w:p>
    <w:p>
      <w:pPr>
        <w:pStyle w:val="a0"/>
      </w:pPr>
      <w:r>
        <w:rPr>
          <w:rFonts w:hint="eastAsia"/>
          <w:b/>
          <w:bCs/>
        </w:rPr>
        <w:t xml:space="preserve">欠採樣</w:t>
      </w:r>
      <w:r>
        <w:rPr>
          <w:rFonts w:hint="eastAsia"/>
        </w:rPr>
        <w:t xml:space="preserve">方面，Random</w:t>
      </w:r>
      <w:r>
        <w:t xml:space="preserve"> Under-sampling </w:t>
      </w:r>
      <w:r>
        <w:rPr>
          <w:rFonts w:hint="eastAsia"/>
        </w:rPr>
        <w:t xml:space="preserve">隨機移除多數類樣本以達到類別平衡，但可能丟失重要資訊。Tomek</w:t>
      </w:r>
      <w:r>
        <w:t xml:space="preserve"> Links </w:t>
      </w:r>
      <w:r>
        <w:rPr>
          <w:rFonts w:hint="eastAsia"/>
        </w:rPr>
        <w:t xml:space="preserve">和</w:t>
      </w:r>
      <w:r>
        <w:t xml:space="preserve"> Edited Nearest </w:t>
      </w:r>
      <w:r>
        <w:rPr>
          <w:rFonts w:hint="eastAsia"/>
        </w:rPr>
        <w:t xml:space="preserve">Neighbours（ENN）等方法則透過移除邊界區域的多數類樣本來清理決策邊界，在保留資訊的同時改善類別分離度。</w:t>
      </w:r>
    </w:p>
    <w:bookmarkEnd w:id="26"/>
    <w:bookmarkStart w:id="27" w:name="演算法層面方法"/>
    <w:p>
      <w:pPr>
        <w:pStyle w:val="3"/>
      </w:pPr>
      <w:r>
        <w:t xml:space="preserve">2.4.2 </w:t>
      </w:r>
      <w:r>
        <w:rPr>
          <w:rFonts w:hint="eastAsia"/>
        </w:rPr>
        <w:t xml:space="preserve">演算法層面方法</w:t>
      </w:r>
    </w:p>
    <w:p>
      <w:pPr>
        <w:pStyle w:val="FirstParagraph"/>
      </w:pPr>
      <w:r>
        <w:rPr>
          <w:rFonts w:hint="eastAsia"/>
        </w:rPr>
        <w:t xml:space="preserve">演算法層面方法在不改變資料分佈的前提下，透過修改學習演算法本身來處理不平衡問題。</w:t>
      </w:r>
    </w:p>
    <w:p>
      <w:pPr>
        <w:pStyle w:val="a0"/>
      </w:pPr>
      <w:r>
        <w:rPr>
          <w:rFonts w:hint="eastAsia"/>
          <w:b/>
          <w:bCs/>
        </w:rPr>
        <w:t xml:space="preserve">成本敏感學習（Cost-sensitive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Learning）</w:t>
      </w:r>
      <w:r>
        <w:t xml:space="preserve"> </w:t>
      </w:r>
      <w:r>
        <w:rPr>
          <w:rFonts w:hint="eastAsia"/>
        </w:rPr>
        <w:t xml:space="preserve">是最常用的演算法層面策略。其核心思想是對不同類別的誤分類賦予不同的代價（cost），使模型更重視少數類的正確分類。在實務上，scikit-learn</w:t>
      </w:r>
      <w:r>
        <w:t xml:space="preserve"> </w:t>
      </w:r>
      <w:r>
        <w:rPr>
          <w:rFonts w:hint="eastAsia"/>
        </w:rPr>
        <w:t xml:space="preserve">等框架提供</w:t>
      </w:r>
      <w:r>
        <w:t xml:space="preserve"> class_weight </w:t>
      </w:r>
      <w:r>
        <w:rPr>
          <w:rFonts w:hint="eastAsia"/>
        </w:rPr>
        <w:t xml:space="preserve">參數，設定為</w:t>
      </w:r>
      <w:r>
        <w:t xml:space="preserve"> </w:t>
      </w:r>
      <w:r>
        <w:t xml:space="preserve">‘balanced’</w:t>
      </w:r>
      <w:r>
        <w:t xml:space="preserve"> </w:t>
      </w:r>
      <w:r>
        <w:rPr>
          <w:rFonts w:hint="eastAsia"/>
        </w:rPr>
        <w:t xml:space="preserve">時會自動依據類別頻率的倒數調整權重：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K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為總樣本數，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為類別數，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為第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類的樣本數。此方法的優點在於不改變訓練資料的原始分佈，避免了合成樣本可能引入的雜訊，且計算成本極低。</w:t>
      </w:r>
    </w:p>
    <w:p>
      <w:pPr>
        <w:pStyle w:val="a0"/>
      </w:pPr>
      <w:r>
        <w:rPr>
          <w:rFonts w:hint="eastAsia"/>
          <w:b/>
          <w:bCs/>
        </w:rPr>
        <w:t xml:space="preserve">決策門檻調整（Threshold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Moving）</w:t>
      </w:r>
      <w:r>
        <w:t xml:space="preserve"> </w:t>
      </w:r>
      <w:r>
        <w:rPr>
          <w:rFonts w:hint="eastAsia"/>
        </w:rPr>
        <w:t xml:space="preserve">則在模型訓練後，調整分類的機率門檻（預設</w:t>
      </w:r>
      <w:r>
        <w:t xml:space="preserve"> </w:t>
      </w:r>
      <w:r>
        <w:rPr>
          <w:rFonts w:hint="eastAsia"/>
        </w:rPr>
        <w:t xml:space="preserve">0.5）來平衡</w:t>
      </w:r>
      <w:r>
        <w:t xml:space="preserve"> Sensitivity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Specificity。此方法不影響模型訓練過程，但需要額外的驗證集來選定最佳門檻。</w:t>
      </w:r>
    </w:p>
    <w:p>
      <w:pPr>
        <w:pStyle w:val="a0"/>
      </w:pPr>
      <w:r>
        <w:rPr>
          <w:rFonts w:hint="eastAsia"/>
        </w:rPr>
        <w:t xml:space="preserve">本研究採用</w:t>
      </w:r>
      <w:r>
        <w:t xml:space="preserve"> class_weight=</w:t>
      </w:r>
      <w:r>
        <w:t xml:space="preserve">‘balanced’</w:t>
      </w:r>
      <w:r>
        <w:t xml:space="preserve"> </w:t>
      </w:r>
      <w:r>
        <w:rPr>
          <w:rFonts w:hint="eastAsia"/>
        </w:rPr>
        <w:t xml:space="preserve">作為主要的類別不平衡處理策略，並以</w:t>
      </w:r>
      <w:r>
        <w:t xml:space="preserve"> AUC-ROC </w:t>
      </w:r>
      <w:r>
        <w:rPr>
          <w:rFonts w:hint="eastAsia"/>
        </w:rPr>
        <w:t xml:space="preserve">作為主要評估指標（因</w:t>
      </w:r>
      <w:r>
        <w:t xml:space="preserve"> AUC </w:t>
      </w:r>
      <w:r>
        <w:rPr>
          <w:rFonts w:hint="eastAsia"/>
        </w:rPr>
        <w:t xml:space="preserve">不受門檻選擇影響），同時報告</w:t>
      </w:r>
      <w:r>
        <w:t xml:space="preserve"> Sensitivity </w:t>
      </w:r>
      <w:r>
        <w:rPr>
          <w:rFonts w:hint="eastAsia"/>
        </w:rPr>
        <w:t xml:space="preserve">和</w:t>
      </w:r>
      <w:r>
        <w:t xml:space="preserve"> Specificity </w:t>
      </w:r>
      <w:r>
        <w:rPr>
          <w:rFonts w:hint="eastAsia"/>
        </w:rPr>
        <w:t xml:space="preserve">以反映臨床應用需求。實驗中亦比較了</w:t>
      </w:r>
      <w:r>
        <w:t xml:space="preserve"> SMOTE </w:t>
      </w:r>
      <w:r>
        <w:rPr>
          <w:rFonts w:hint="eastAsia"/>
        </w:rPr>
        <w:t xml:space="preserve">與</w:t>
      </w:r>
      <w:r>
        <w:t xml:space="preserve"> class_weight </w:t>
      </w:r>
      <w:r>
        <w:rPr>
          <w:rFonts w:hint="eastAsia"/>
        </w:rPr>
        <w:t xml:space="preserve">兩種策略的效果差異（詳見第六章）。</w:t>
      </w:r>
    </w:p>
    <w:bookmarkEnd w:id="27"/>
    <w:bookmarkEnd w:id="28"/>
    <w:bookmarkStart w:id="32" w:name="研究缺口與本研究定位"/>
    <w:p>
      <w:pPr>
        <w:pStyle w:val="2"/>
      </w:pPr>
      <w:r>
        <w:t xml:space="preserve">2.5 </w:t>
      </w:r>
      <w:r>
        <w:rPr>
          <w:rFonts w:hint="eastAsia"/>
        </w:rPr>
        <w:t xml:space="preserve">研究缺口與本研究定位</w:t>
      </w:r>
    </w:p>
    <w:bookmarkStart w:id="29" w:name="相關研究實驗比較"/>
    <w:p>
      <w:pPr>
        <w:pStyle w:val="3"/>
      </w:pPr>
      <w:r>
        <w:t xml:space="preserve">2.5.1 </w:t>
      </w:r>
      <w:r>
        <w:rPr>
          <w:rFonts w:hint="eastAsia"/>
        </w:rPr>
        <w:t xml:space="preserve">相關研究實驗比較</w:t>
      </w:r>
    </w:p>
    <w:p>
      <w:pPr>
        <w:pStyle w:val="FirstParagraph"/>
      </w:pPr>
      <w:r>
        <w:rPr>
          <w:rFonts w:hint="eastAsia"/>
        </w:rPr>
        <w:t xml:space="preserve">有別於表</w:t>
      </w:r>
      <w:r>
        <w:t xml:space="preserve"> 2-1 </w:t>
      </w:r>
      <w:r>
        <w:rPr>
          <w:rFonts w:hint="eastAsia"/>
        </w:rPr>
        <w:t xml:space="preserve">著重預測效能的呈現，表</w:t>
      </w:r>
      <w:r>
        <w:t xml:space="preserve"> 2-2 </w:t>
      </w:r>
      <w:r>
        <w:rPr>
          <w:rFonts w:hint="eastAsia"/>
        </w:rPr>
        <w:t xml:space="preserve">從實驗設計的角度檢視各相關研究的涵蓋度，包括系統性比較的模型數量、報告的評估指標、涵蓋的疾病範圍，以及是否進行變化量特徵消融、健檢次數比較、特徵選擇、類別不平衡處理與可解釋性分析等實驗。透過此比較可更清楚地識別現有研究在實驗設計上的不足：多數研究僅比較少量模型且聚焦單一疾病，在特徵選擇與類別不平衡處理等面向的探討亦相當有限。本研究則在上述九個維度中涵蓋全部五項實驗面向，為目前文獻中實驗覆蓋最完整的三高預測研究。</w:t>
      </w:r>
    </w:p>
    <w:p>
      <w:pPr>
        <w:pStyle w:val="a0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2-2 </w:t>
      </w:r>
      <w:r>
        <w:rPr>
          <w:rFonts w:hint="eastAsia"/>
          <w:b/>
          <w:bCs/>
        </w:rPr>
        <w:t xml:space="preserve">相關研究實驗涵蓋度比較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754"/>
        <w:gridCol w:w="942"/>
        <w:gridCol w:w="942"/>
        <w:gridCol w:w="754"/>
        <w:gridCol w:w="942"/>
        <w:gridCol w:w="942"/>
        <w:gridCol w:w="1131"/>
        <w:gridCol w:w="94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評估指標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疾病範圍</w:t>
            </w:r>
          </w:p>
        </w:tc>
        <w:tc>
          <w:tcPr/>
          <w:p>
            <w:pPr>
              <w:pStyle w:val="Compact"/>
            </w:pPr>
            <w:r>
              <w:t xml:space="preserve">Δ </w:t>
            </w:r>
            <w:r>
              <w:rPr>
                <w:rFonts w:hint="eastAsia"/>
              </w:rPr>
              <w:t xml:space="preserve">特徵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次數比較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特徵選擇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類別平衡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可解釋性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 (2018)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HTN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Alaa (2019)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CVD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Dinh (2019)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Kanegae (2020)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HTN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Hung (2021)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HTN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Liu (2024)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Wang (2024)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HTN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Yang (2025)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DM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Majcherek (2025)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Tsai (2025)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多疾病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本研究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</w:t>
            </w:r>
          </w:p>
        </w:tc>
      </w:tr>
    </w:tbl>
    <w:p>
      <w:pPr>
        <w:pStyle w:val="a0"/>
      </w:pPr>
      <w:r>
        <w:rPr>
          <w:rFonts w:hint="eastAsia"/>
        </w:rPr>
        <w:t xml:space="preserve">註：HTN</w:t>
      </w:r>
      <w:r>
        <w:t xml:space="preserve"> = </w:t>
      </w:r>
      <w:r>
        <w:rPr>
          <w:rFonts w:hint="eastAsia"/>
        </w:rPr>
        <w:t xml:space="preserve">高血壓、DM</w:t>
      </w:r>
      <w:r>
        <w:t xml:space="preserve"> = </w:t>
      </w:r>
      <w:r>
        <w:rPr>
          <w:rFonts w:hint="eastAsia"/>
        </w:rPr>
        <w:t xml:space="preserve">糖尿病、CVD</w:t>
      </w:r>
      <w:r>
        <w:t xml:space="preserve"> = </w:t>
      </w:r>
      <w:r>
        <w:rPr>
          <w:rFonts w:hint="eastAsia"/>
        </w:rPr>
        <w:t xml:space="preserve">心血管疾病、三高</w:t>
      </w:r>
      <w:r>
        <w:t xml:space="preserve"> = HTN + </w:t>
      </w:r>
      <w:r>
        <w:rPr>
          <w:rFonts w:hint="eastAsia"/>
        </w:rPr>
        <w:t xml:space="preserve">高血糖</w:t>
      </w:r>
      <w:r>
        <w:t xml:space="preserve"> + </w:t>
      </w:r>
      <w:r>
        <w:rPr>
          <w:rFonts w:hint="eastAsia"/>
        </w:rPr>
        <w:t xml:space="preserve">高血脂。「模型數」為研究中系統性比較的模型數量。「評估指標」為研究報告的指標數量（如</w:t>
      </w:r>
      <w:r>
        <w:t xml:space="preserve"> AUC、Sensitivity、Specificity、F1-Score </w:t>
      </w:r>
      <w:r>
        <w:rPr>
          <w:rFonts w:hint="eastAsia"/>
        </w:rPr>
        <w:t xml:space="preserve">等）。</w:t>
      </w:r>
    </w:p>
    <w:bookmarkEnd w:id="29"/>
    <w:bookmarkStart w:id="30" w:name="研究缺口"/>
    <w:p>
      <w:pPr>
        <w:pStyle w:val="3"/>
      </w:pPr>
      <w:r>
        <w:t xml:space="preserve">2.5.2 </w:t>
      </w:r>
      <w:r>
        <w:rPr>
          <w:rFonts w:hint="eastAsia"/>
        </w:rPr>
        <w:t xml:space="preserve">研究缺口</w:t>
      </w:r>
    </w:p>
    <w:p>
      <w:pPr>
        <w:pStyle w:val="FirstParagraph"/>
      </w:pPr>
      <w:r>
        <w:rPr>
          <w:rFonts w:hint="eastAsia"/>
        </w:rPr>
        <w:t xml:space="preserve">綜觀現有文獻，本研究識別以下研究缺口：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多疾病同時預測</w:t>
      </w:r>
      <w:r>
        <w:rPr>
          <w:rFonts w:hint="eastAsia"/>
        </w:rPr>
        <w:t xml:space="preserve">：多數研究僅針對單一疾病，缺乏三高疾病的綜合預測框架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模型比較的完整性</w:t>
      </w:r>
      <w:r>
        <w:rPr>
          <w:rFonts w:hint="eastAsia"/>
        </w:rPr>
        <w:t xml:space="preserve">：現有研究通常只比較少數模型，缺乏傳統統計、樹模型、神經網路、符號回歸的全面比較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可解釋性與效能的平衡</w:t>
      </w:r>
      <w:r>
        <w:rPr>
          <w:rFonts w:hint="eastAsia"/>
        </w:rPr>
        <w:t xml:space="preserve">：多數研究偏重預測效能，較少探討臨床可解釋性</w:t>
      </w:r>
    </w:p>
    <w:bookmarkEnd w:id="30"/>
    <w:bookmarkStart w:id="31" w:name="研究動機"/>
    <w:p>
      <w:pPr>
        <w:pStyle w:val="3"/>
      </w:pPr>
      <w:r>
        <w:t xml:space="preserve">2.5.3 </w:t>
      </w:r>
      <w:r>
        <w:rPr>
          <w:rFonts w:hint="eastAsia"/>
        </w:rPr>
        <w:t xml:space="preserve">研究動機</w:t>
      </w:r>
    </w:p>
    <w:p>
      <w:pPr>
        <w:pStyle w:val="FirstParagraph"/>
      </w:pPr>
      <w:r>
        <w:rPr>
          <w:rFonts w:hint="eastAsia"/>
        </w:rPr>
        <w:t xml:space="preserve">基於上述研究缺口，本研究的動機可歸納為三個面向：</w:t>
      </w:r>
    </w:p>
    <w:p>
      <w:pPr>
        <w:pStyle w:val="a0"/>
      </w:pPr>
      <w:r>
        <w:rPr>
          <w:rFonts w:hint="eastAsia"/>
        </w:rPr>
        <w:t xml:space="preserve">第一，現有三高預測研究多聚焦於單一疾病，且多採用單一時間點資料。然而，三高疾病具有高度共病性（超過</w:t>
      </w:r>
      <w:r>
        <w:t xml:space="preserve"> 70% </w:t>
      </w:r>
      <w:r>
        <w:rPr>
          <w:rFonts w:hint="eastAsia"/>
        </w:rPr>
        <w:t xml:space="preserve">的糖尿病患者合併高血壓或高血脂），且疾病發展為漸進過程，單一時間點的靜態評估無法捕捉健康狀態的動態變化。本研究旨在建立一個同時預測三高疾病的縱向預測框架，透過變化量特徵（Δ</w:t>
      </w:r>
      <w:r>
        <w:t xml:space="preserve"> </w:t>
      </w:r>
      <w:r>
        <w:rPr>
          <w:rFonts w:hint="eastAsia"/>
        </w:rPr>
        <w:t xml:space="preserve">Features）充分利用縱向健檢資料的時序資訊。</w:t>
      </w:r>
    </w:p>
    <w:p>
      <w:pPr>
        <w:pStyle w:val="a0"/>
      </w:pPr>
      <w:r>
        <w:rPr>
          <w:rFonts w:hint="eastAsia"/>
        </w:rPr>
        <w:t xml:space="preserve">第二，多數高效能模型（如深度神經網路）屬於黑箱模型，缺乏臨床可解釋性，限制了其在實際醫療場景中的應用。本研究同時探索可解釋方法（符號回歸、SHAP</w:t>
      </w:r>
      <w:r>
        <w:t xml:space="preserve"> </w:t>
      </w:r>
      <w:r>
        <w:rPr>
          <w:rFonts w:hint="eastAsia"/>
        </w:rPr>
        <w:t xml:space="preserve">分析），以期在預測效能與臨床可解釋性之間取得平衡。</w:t>
      </w:r>
    </w:p>
    <w:p>
      <w:pPr>
        <w:pStyle w:val="a0"/>
      </w:pPr>
      <w:r>
        <w:rPr>
          <w:rFonts w:hint="eastAsia"/>
        </w:rPr>
        <w:t xml:space="preserve">第三，隨著台灣將成人預防保健服務年齡下修至</w:t>
      </w:r>
      <w:r>
        <w:t xml:space="preserve"> 30 </w:t>
      </w:r>
      <w:r>
        <w:rPr>
          <w:rFonts w:hint="eastAsia"/>
        </w:rPr>
        <w:t xml:space="preserve">歲（國民健康署，2025），早期預測與個人化風險評估的需求日益迫切。本研究期望透過簡單有效的模型與精簡的特徵集，為基層醫療單位提供可實務部署的早期預警方案。</w:t>
      </w:r>
    </w:p>
    <w:p>
      <w:pPr>
        <w:pStyle w:val="a0"/>
      </w:pPr>
      <w:r>
        <w:rPr>
          <w:rFonts w:hint="eastAsia"/>
          <w:b/>
          <w:bCs/>
        </w:rPr>
        <w:t xml:space="preserve">撰寫狀態</w:t>
      </w:r>
      <w:r>
        <w:rPr>
          <w:rFonts w:hint="eastAsia"/>
        </w:rPr>
        <w:t xml:space="preserve">：章節重組完成</w:t>
      </w:r>
      <w:r>
        <w:t xml:space="preserve"> </w:t>
      </w:r>
      <w:r>
        <w:rPr>
          <w:rFonts w:hint="eastAsia"/>
          <w:b/>
          <w:bCs/>
        </w:rPr>
        <w:t xml:space="preserve">最後更新</w:t>
      </w:r>
      <w:r>
        <w:rPr>
          <w:rFonts w:hint="eastAsia"/>
        </w:rPr>
        <w:t xml:space="preserve">：2026-02-24</w:t>
      </w:r>
      <w:r>
        <w:t xml:space="preserve"> </w:t>
      </w:r>
      <w:r>
        <w:rPr>
          <w:rFonts w:hint="eastAsia"/>
          <w:b/>
          <w:bCs/>
        </w:rPr>
        <w:t xml:space="preserve">維護者</w:t>
      </w:r>
      <w:r>
        <w:rPr>
          <w:rFonts w:hint="eastAsia"/>
        </w:rPr>
        <w:t xml:space="preserve">：紀伯喬</w:t>
      </w:r>
    </w:p>
    <w:bookmarkEnd w:id="31"/>
    <w:bookmarkEnd w:id="32"/>
    <w:bookmarkEnd w:id="33"/>
    <w:sectPr w:rsidR="006D3225" w:rsidRPr="00BE2F6E" w:rsidSect="000C688A">
      <w:footnotePr>
        <w:numRestart w:val="eachSect"/>
      </w:footnotePr>
      <w:pgSz w:h="15840" w:w="12240"/>
      <w:pgMar w:bottom="1418" w:footer="720" w:gutter="0" w:header="720" w:left="1701" w:right="1418" w:top="1985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1"/>
    <w:multiLevelType w:val="multilevel"/>
    <w:tmpl w:val="55A042E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">
    <w:nsid w:val="00A99411"/>
    <w:multiLevelType w:val="multilevel"/>
    <w:tmpl w:val="0936ADC0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</w:num>
  <w:num w:numId="18">
    <w:abstractNumId w:val="0"/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</w:num>
  <w:num w:numId="22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6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253F"/>
    <w:rsid w:val="000C688A"/>
    <w:rsid w:val="002D44E1"/>
    <w:rsid w:val="0069253F"/>
    <w:rsid w:val="006D3225"/>
    <w:rsid w:val="008D1BC4"/>
    <w:rsid w:val="00A2729A"/>
    <w:rsid w:val="00A75A56"/>
    <w:rsid w:val="00B8724B"/>
    <w:rsid w:val="00BE2F6E"/>
    <w:rsid w:val="00C2227C"/>
    <w:rsid w:val="00C73B26"/>
    <w:rsid w:val="00D70EEA"/>
    <w:rsid w:val="00E16716"/>
    <w:rsid w:val="00F90F98"/>
  </w:rsids>
  <w:themeFontLang w:eastAsia="zh-TW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0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標題 字元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標題 字元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標題 1 字元"/>
    <w:basedOn w:val="a1"/>
    <w:link w:val="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20" w:type="character">
    <w:name w:val="標題 2 字元"/>
    <w:basedOn w:val="a1"/>
    <w:link w:val="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30" w:type="character">
    <w:name w:val="標題 3 字元"/>
    <w:basedOn w:val="a1"/>
    <w:link w:val="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40" w:type="character">
    <w:name w:val="標題 4 字元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50" w:type="character">
    <w:name w:val="標題 5 字元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0" w:type="character">
    <w:name w:val="標題 6 字元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標題 7 字元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標題 8 字元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標題 9 字元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標號 字元"/>
    <w:basedOn w:val="a1"/>
    <w:link w:val="ac"/>
  </w:style>
  <w:style w:customStyle="1" w:styleId="VerbatimChar" w:type="character">
    <w:name w:val="Verbatim Char"/>
    <w:basedOn w:val="ad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af0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af1" w:type="paragraph">
    <w:name w:val="Balloon Text"/>
    <w:basedOn w:val="a"/>
    <w:link w:val="af2"/>
    <w:rsid w:val="00A2729A"/>
    <w:pPr>
      <w:spacing w:after="0"/>
    </w:pPr>
    <w:rPr>
      <w:rFonts w:asciiTheme="majorHAnsi" w:cstheme="majorBidi" w:eastAsiaTheme="majorEastAsia" w:hAnsiTheme="majorHAnsi"/>
      <w:sz w:val="18"/>
      <w:szCs w:val="18"/>
    </w:rPr>
  </w:style>
  <w:style w:customStyle="1" w:styleId="af2" w:type="character">
    <w:name w:val="註解方塊文字 字元"/>
    <w:basedOn w:val="a1"/>
    <w:link w:val="af1"/>
    <w:rsid w:val="00A2729A"/>
    <w:rPr>
      <w:rFonts w:asciiTheme="majorHAnsi" w:cstheme="majorBidi" w:eastAsiaTheme="majorEastAsia" w:hAnsiTheme="majorHAnsi"/>
      <w:sz w:val="18"/>
      <w:szCs w:val="18"/>
    </w:rPr>
  </w:style>
  <w:style w:styleId="af3" w:type="paragraph">
    <w:name w:val="header"/>
    <w:basedOn w:val="a"/>
    <w:link w:val="af4"/>
    <w:unhideWhenUsed/>
    <w:rsid w:val="00BE2F6E"/>
    <w:pPr>
      <w:tabs>
        <w:tab w:pos="4153" w:val="center"/>
        <w:tab w:pos="8306" w:val="right"/>
      </w:tabs>
      <w:snapToGrid w:val="0"/>
    </w:pPr>
    <w:rPr>
      <w:sz w:val="20"/>
      <w:szCs w:val="20"/>
    </w:rPr>
  </w:style>
  <w:style w:customStyle="1" w:styleId="af4" w:type="character">
    <w:name w:val="頁首 字元"/>
    <w:basedOn w:val="a1"/>
    <w:link w:val="af3"/>
    <w:rsid w:val="00BE2F6E"/>
    <w:rPr>
      <w:sz w:val="20"/>
      <w:szCs w:val="20"/>
    </w:rPr>
  </w:style>
  <w:style w:styleId="af5" w:type="paragraph">
    <w:name w:val="footer"/>
    <w:basedOn w:val="a"/>
    <w:link w:val="af6"/>
    <w:unhideWhenUsed/>
    <w:rsid w:val="00BE2F6E"/>
    <w:pPr>
      <w:tabs>
        <w:tab w:pos="4153" w:val="center"/>
        <w:tab w:pos="8306" w:val="right"/>
      </w:tabs>
      <w:snapToGrid w:val="0"/>
    </w:pPr>
    <w:rPr>
      <w:sz w:val="20"/>
      <w:szCs w:val="20"/>
    </w:rPr>
  </w:style>
  <w:style w:customStyle="1" w:styleId="af6" w:type="character">
    <w:name w:val="頁尾 字元"/>
    <w:basedOn w:val="a1"/>
    <w:link w:val="af5"/>
    <w:rsid w:val="00BE2F6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media/image2.png" Type="http://schemas.openxmlformats.org/officeDocument/2006/relationships/image" /><Relationship Id="rId7" Target="media/image1.png" Type="http://schemas.openxmlformats.org/officeDocument/2006/relationships/image" /><Relationship Id="rId9" Target="media/image3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1586</Words>
  <Characters>9045</Characters>
  <Application>Microsoft Office Word</Application>
  <DocSecurity>0</DocSecurity>
  <Lines>75</Lines>
  <Paragraphs>21</Paragraphs>
  <ScaleCrop>false</ScaleCrop>
  <Company/>
  <LinksUpToDate>false</LinksUpToDate>
  <CharactersWithSpaces>10610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2026-03-12T07:10:11Z</dcterms:created>
  <dcterms:modified xsi:type="dcterms:W3CDTF">2026-03-12T07:10:11Z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