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24531faec4ae5d4ef0a599dab0611967c8049d7"/>
    <w:p>
      <w:pPr>
        <w:pStyle w:val="Heading1"/>
      </w:pPr>
      <w:r>
        <w:t xml:space="preserve">Simultaneous machine-learning prediction of hypertension, hyperglycemia, and dyslipidemia from longitudinal health-checkup data: a comprehensive model comparison with interpretable symbolic regression</w:t>
      </w:r>
    </w:p>
    <w:p>
      <w:pPr>
        <w:pStyle w:val="BlockText"/>
      </w:pPr>
      <w:r>
        <w:rPr>
          <w:rFonts w:hint="eastAsia"/>
          <w:b/>
          <w:bCs/>
        </w:rPr>
        <w:t xml:space="preserve">以縱向健檢資料同時預測高血壓、高血糖與高血脂：結合可解釋符號回歸的機器學習模型全面比較</w:t>
      </w:r>
    </w:p>
    <w:p>
      <w:pPr>
        <w:pStyle w:val="FirstParagraph"/>
      </w:pPr>
      <w:r>
        <w:rPr>
          <w:b/>
          <w:bCs/>
        </w:rPr>
        <w:t xml:space="preserve">Running title:</w:t>
      </w:r>
      <w:r>
        <w:t xml:space="preserve"> </w:t>
      </w:r>
      <w:r>
        <w:t xml:space="preserve">Predicting the "three highs" from longitudinal checkups</w:t>
      </w:r>
    </w:p>
    <w:p>
      <w:pPr>
        <w:pStyle w:val="BlockText"/>
      </w:pPr>
      <w:r>
        <w:rPr>
          <w:rFonts w:hint="eastAsia"/>
          <w:b/>
          <w:bCs/>
        </w:rPr>
        <w:t xml:space="preserve">短題名：</w:t>
      </w:r>
      <w:r>
        <w:t xml:space="preserve"> </w:t>
      </w:r>
      <w:r>
        <w:rPr>
          <w:rFonts w:hint="eastAsia"/>
        </w:rPr>
        <w:t xml:space="preserve">以縱向健檢資料預測「三高」</w:t>
      </w:r>
    </w:p>
    <w:p>
      <w:pPr>
        <w:pStyle w:val="FirstParagraph"/>
      </w:pPr>
      <w:r>
        <w:rPr>
          <w:b/>
          <w:bCs/>
        </w:rPr>
        <w:t xml:space="preserve">Po-Chiao Chi¹ </w:t>
      </w:r>
      <w:r>
        <w:rPr>
          <w:rFonts w:hint="eastAsia"/>
          <w:b/>
          <w:bCs/>
        </w:rPr>
        <w:t xml:space="preserve">(紀伯喬),</w:t>
      </w:r>
      <w:r>
        <w:rPr>
          <w:b/>
          <w:bCs/>
        </w:rPr>
        <w:t xml:space="preserve"> Yang Syu¹ </w:t>
      </w:r>
      <w:r>
        <w:rPr>
          <w:rFonts w:hint="eastAsia"/>
          <w:b/>
          <w:bCs/>
        </w:rPr>
        <w:t xml:space="preserve">(許揚)</w:t>
      </w:r>
      <w:r>
        <w:t xml:space="preserve"> </w:t>
      </w:r>
      <w:r>
        <w:rPr>
          <w:rFonts w:hint="eastAsia"/>
          <w:i/>
          <w:iCs/>
        </w:rPr>
        <w:t xml:space="preserve">(作者順序/通訊作者待定)</w:t>
      </w:r>
      <w:r>
        <w:t xml:space="preserve"> </w:t>
      </w:r>
      <w:r>
        <w:t xml:space="preserve">¹ Department of Computer Science, College of Science, National Taipei University of Education, Taipei, </w:t>
      </w:r>
      <w:r>
        <w:rPr>
          <w:rFonts w:hint="eastAsia"/>
        </w:rPr>
        <w:t xml:space="preserve">Taiwan（國立臺北教育大學理學院資訊科學系）</w:t>
      </w:r>
    </w:p>
    <w:p>
      <w:r>
        <w:pict>
          <v:rect style="width:0;height:1.5pt" o:hralign="center" o:hrstd="t" o:hr="t"/>
        </w:pict>
      </w:r>
    </w:p>
    <w:bookmarkStart w:id="10" w:name="abstract"/>
    <w:p>
      <w:pPr>
        <w:pStyle w:val="Heading2"/>
      </w:pPr>
      <w:r>
        <w:t xml:space="preserve">Abstract</w:t>
      </w:r>
    </w:p>
    <w:p>
      <w:pPr>
        <w:pStyle w:val="Heading2"/>
      </w:pPr>
      <w:bookmarkStart w:id="9" w:name="摘要"/>
      <w:r>
        <w:rPr>
          <w:rFonts w:hint="eastAsia"/>
        </w:rPr>
        <w:t xml:space="preserve">摘要</w:t>
      </w:r>
      <w:bookmarkEnd w:id="9"/>
    </w:p>
    <w:p>
      <w:pPr>
        <w:pStyle w:val="FirstParagraph"/>
      </w:pPr>
      <w:r>
        <w:rPr>
          <w:b/>
          <w:bCs/>
        </w:rPr>
        <w:t xml:space="preserve">Background.</w:t>
      </w:r>
      <w:r>
        <w:t xml:space="preserve"> </w:t>
      </w:r>
      <w:r>
        <w:t xml:space="preserve">Hypertension, hyperglycemia, and dyslipidemia—collectively the "three highs"—are the principal modifiable risk factors for cardiovascular disease and frequently co-occur. Conventional risk scores rely on a single time point and do not exploit the dynamic information embedded in repeated health checkups. Existing machine-learning studies typically target a single disease, compare few models, and seldom address interpretability. We aimed to build and systematically evaluate a longitudinal framework that predicts all three conditions simultaneously, while quantifying the value of change (delta) features and exploring interpretable models.</w:t>
      </w:r>
    </w:p>
    <w:p>
      <w:pPr>
        <w:pStyle w:val="BlockText"/>
      </w:pPr>
      <w:r>
        <w:rPr>
          <w:rFonts w:hint="eastAsia"/>
          <w:b/>
          <w:bCs/>
        </w:rPr>
        <w:t xml:space="preserve">背景。</w:t>
      </w:r>
      <w:r>
        <w:t xml:space="preserve"> </w:t>
      </w:r>
      <w:r>
        <w:rPr>
          <w:rFonts w:hint="eastAsia"/>
        </w:rPr>
        <w:t xml:space="preserve">高血壓、高血糖與高血脂（合稱「三高」）是心血管疾病的主要可控風險因子，且常共病發生。傳統風險評分僅依賴單一時間點，未利用重複健檢中蘊含的動態資訊。現有機器學習研究多聚焦單一疾病、比較模型數量有限、且少有探討可解釋性。本研究旨在建立並系統性評估一個同時預測三高的縱向框架，量化變化量（Δ）特徵的價值，並探索可解釋模型。</w:t>
      </w:r>
    </w:p>
    <w:p>
      <w:pPr>
        <w:pStyle w:val="FirstParagraph"/>
      </w:pPr>
      <w:r>
        <w:rPr>
          <w:b/>
          <w:bCs/>
        </w:rPr>
        <w:t xml:space="preserve">Methods.</w:t>
      </w:r>
      <w:r>
        <w:t xml:space="preserve"> </w:t>
      </w:r>
      <w:r>
        <w:t xml:space="preserve">We used a publicly available longitudinal community health-checkup cohort (Luo et al., Dryad; Hangzhou, China, 2010–2018; adults aged ≥40). After excluding participants with fewer than three checkups, 6,056 individuals remained. A three-time-point design (Y−2, Y−1, Y0) with a sliding-window expansion produced 13,514 modeling records. Twenty-six features were derived: demographics, biomarkers at Y−2 and Y−1, and eight delta features (Y−1 − Y−2). Ten classifiers plus symbolic regression (PySR) were evaluated with stratified group 5-fold cross-validation. The primary metric was AUC-ROC.</w:t>
      </w:r>
    </w:p>
    <w:p>
      <w:pPr>
        <w:pStyle w:val="BlockText"/>
      </w:pPr>
      <w:r>
        <w:rPr>
          <w:rFonts w:hint="eastAsia"/>
          <w:b/>
          <w:bCs/>
        </w:rPr>
        <w:t xml:space="preserve">方法。</w:t>
      </w:r>
      <w:r>
        <w:t xml:space="preserve"> </w:t>
      </w:r>
      <w:r>
        <w:rPr>
          <w:rFonts w:hint="eastAsia"/>
        </w:rPr>
        <w:t xml:space="preserve">使用公開於</w:t>
      </w:r>
      <w:r>
        <w:t xml:space="preserve"> Dryad </w:t>
      </w:r>
      <w:r>
        <w:rPr>
          <w:rFonts w:hint="eastAsia"/>
        </w:rPr>
        <w:t xml:space="preserve">的縱向社區健檢世代（Luo</w:t>
      </w:r>
      <w:r>
        <w:t xml:space="preserve"> </w:t>
      </w:r>
      <w:r>
        <w:rPr>
          <w:rFonts w:hint="eastAsia"/>
        </w:rPr>
        <w:t xml:space="preserve">等人；中國杭州，2010–2018；≥40</w:t>
      </w:r>
      <w:r>
        <w:t xml:space="preserve"> </w:t>
      </w:r>
      <w:r>
        <w:rPr>
          <w:rFonts w:hint="eastAsia"/>
        </w:rPr>
        <w:t xml:space="preserve">歲成人）。排除健檢少於三次者後保留</w:t>
      </w:r>
      <w:r>
        <w:t xml:space="preserve"> 6,056 </w:t>
      </w:r>
      <w:r>
        <w:rPr>
          <w:rFonts w:hint="eastAsia"/>
        </w:rPr>
        <w:t xml:space="preserve">人。採三時間點設計（Y−2、Y−1、Y0），以滑動窗口擴增為</w:t>
      </w:r>
      <w:r>
        <w:t xml:space="preserve"> 13,514 </w:t>
      </w:r>
      <w:r>
        <w:rPr>
          <w:rFonts w:hint="eastAsia"/>
        </w:rPr>
        <w:t xml:space="preserve">筆建模紀錄。萃取</w:t>
      </w:r>
      <w:r>
        <w:t xml:space="preserve"> 26 </w:t>
      </w:r>
      <w:r>
        <w:rPr>
          <w:rFonts w:hint="eastAsia"/>
        </w:rPr>
        <w:t xml:space="preserve">個特徵：人口學、Y−2</w:t>
      </w:r>
      <w:r>
        <w:t xml:space="preserve"> </w:t>
      </w:r>
      <w:r>
        <w:rPr>
          <w:rFonts w:hint="eastAsia"/>
        </w:rPr>
        <w:t xml:space="preserve">與</w:t>
      </w:r>
      <w:r>
        <w:t xml:space="preserve"> Y−1 </w:t>
      </w:r>
      <w:r>
        <w:rPr>
          <w:rFonts w:hint="eastAsia"/>
        </w:rPr>
        <w:t xml:space="preserve">的生物標記，以及</w:t>
      </w:r>
      <w:r>
        <w:t xml:space="preserve"> 8 </w:t>
      </w:r>
      <w:r>
        <w:rPr>
          <w:rFonts w:hint="eastAsia"/>
        </w:rPr>
        <w:t xml:space="preserve">個</w:t>
      </w:r>
      <w:r>
        <w:t xml:space="preserve"> Δ </w:t>
      </w:r>
      <w:r>
        <w:rPr>
          <w:rFonts w:hint="eastAsia"/>
        </w:rPr>
        <w:t xml:space="preserve">特徵（Y−1</w:t>
      </w:r>
      <w:r>
        <w:t xml:space="preserve"> − </w:t>
      </w:r>
      <w:r>
        <w:rPr>
          <w:rFonts w:hint="eastAsia"/>
        </w:rPr>
        <w:t xml:space="preserve">Y−2）。以分層分組</w:t>
      </w:r>
      <w:r>
        <w:t xml:space="preserve"> 5 </w:t>
      </w:r>
      <w:r>
        <w:rPr>
          <w:rFonts w:hint="eastAsia"/>
        </w:rPr>
        <w:t xml:space="preserve">折交叉驗證評估十種分類器加符號回歸（PySR），主要指標為</w:t>
      </w:r>
      <w:r>
        <w:t xml:space="preserve"> AUC-ROC。</w:t>
      </w:r>
    </w:p>
    <w:p>
      <w:pPr>
        <w:pStyle w:val="FirstParagraph"/>
      </w:pPr>
      <w:r>
        <w:rPr>
          <w:b/>
          <w:bCs/>
        </w:rPr>
        <w:t xml:space="preserve">Results.</w:t>
      </w:r>
      <w:r>
        <w:t xml:space="preserve"> </w:t>
      </w:r>
      <w:r>
        <w:t xml:space="preserve">LR was the most consistent model, achieving AUC 0.721 (hypertension), 0.938 (hyperglycemia), and 0.867 (dyslipidemia), with a balanced sensitivity/specificity profile and negligible overfitting (gap ≤0.004). With both Y−2 and Y−1 present, delta features were predictively redundant; given only the most recent visit, adding deltas raised AUC by 1.5–2.3%. Using only the top two features retained AUC within ~0.8% of the full model. Class-imbalance methods left AUC unchanged (&lt;0.2%) but raised sensitivity from 0.04–0.34 to 0.70–0.88. Symbolic regression's 0.114 × FBG_(Y−1) reached AUC 0.943 for hyperglycemia and was fold-stable.</w:t>
      </w:r>
    </w:p>
    <w:p>
      <w:pPr>
        <w:pStyle w:val="BlockText"/>
      </w:pPr>
      <w:r>
        <w:rPr>
          <w:rFonts w:hint="eastAsia"/>
          <w:b/>
          <w:bCs/>
        </w:rPr>
        <w:t xml:space="preserve">結果。</w:t>
      </w:r>
      <w:r>
        <w:t xml:space="preserve"> </w:t>
      </w:r>
      <w:r>
        <w:rPr>
          <w:rFonts w:hint="eastAsia"/>
        </w:rPr>
        <w:t xml:space="preserve">邏輯迴歸（LR）最為穩定，AUC</w:t>
      </w:r>
      <w:r>
        <w:t xml:space="preserve"> </w:t>
      </w:r>
      <w:r>
        <w:rPr>
          <w:rFonts w:hint="eastAsia"/>
        </w:rPr>
        <w:t xml:space="preserve">達</w:t>
      </w:r>
      <w:r>
        <w:t xml:space="preserve"> </w:t>
      </w:r>
      <w:r>
        <w:rPr>
          <w:rFonts w:hint="eastAsia"/>
        </w:rPr>
        <w:t xml:space="preserve">0.721（高血壓）、0.938（高血糖）、0.867（高血脂），敏感度/特異度平衡良好且幾乎無過擬合（差距</w:t>
      </w:r>
      <w:r>
        <w:t xml:space="preserve"> </w:t>
      </w:r>
      <w:r>
        <w:rPr>
          <w:rFonts w:hint="eastAsia"/>
        </w:rPr>
        <w:t xml:space="preserve">≤0.004）。當</w:t>
      </w:r>
      <w:r>
        <w:t xml:space="preserve"> Y−2 </w:t>
      </w:r>
      <w:r>
        <w:rPr>
          <w:rFonts w:hint="eastAsia"/>
        </w:rPr>
        <w:t xml:space="preserve">與</w:t>
      </w:r>
      <w:r>
        <w:t xml:space="preserve"> Y−1 </w:t>
      </w:r>
      <w:r>
        <w:rPr>
          <w:rFonts w:hint="eastAsia"/>
        </w:rPr>
        <w:t xml:space="preserve">皆存在時，Δ</w:t>
      </w:r>
      <w:r>
        <w:t xml:space="preserve"> </w:t>
      </w:r>
      <w:r>
        <w:rPr>
          <w:rFonts w:hint="eastAsia"/>
        </w:rPr>
        <w:t xml:space="preserve">特徵在預測上為冗餘；但僅有最近一次健檢時，加入</w:t>
      </w:r>
      <w:r>
        <w:t xml:space="preserve"> Δ </w:t>
      </w:r>
      <w:r>
        <w:rPr>
          <w:rFonts w:hint="eastAsia"/>
        </w:rPr>
        <w:t xml:space="preserve">可提升</w:t>
      </w:r>
      <w:r>
        <w:t xml:space="preserve"> AUC </w:t>
      </w:r>
      <w:r>
        <w:rPr>
          <w:rFonts w:hint="eastAsia"/>
        </w:rPr>
        <w:t xml:space="preserve">1.5–2.3%。僅用前兩大特徵即可保留</w:t>
      </w:r>
      <w:r>
        <w:t xml:space="preserve"> AUC </w:t>
      </w:r>
      <w:r>
        <w:rPr>
          <w:rFonts w:hint="eastAsia"/>
        </w:rPr>
        <w:t xml:space="preserve">在完整模型的</w:t>
      </w:r>
      <w:r>
        <w:t xml:space="preserve"> ~0.8% </w:t>
      </w:r>
      <w:r>
        <w:rPr>
          <w:rFonts w:hint="eastAsia"/>
        </w:rPr>
        <w:t xml:space="preserve">以內。類別不平衡處理方法對</w:t>
      </w:r>
      <w:r>
        <w:t xml:space="preserve"> AUC </w:t>
      </w:r>
      <w:r>
        <w:rPr>
          <w:rFonts w:hint="eastAsia"/>
        </w:rPr>
        <w:t xml:space="preserve">幾乎無影響（&lt;0.2%），但將敏感度從</w:t>
      </w:r>
      <w:r>
        <w:t xml:space="preserve"> 0.04–0.34 </w:t>
      </w:r>
      <w:r>
        <w:rPr>
          <w:rFonts w:hint="eastAsia"/>
        </w:rPr>
        <w:t xml:space="preserve">提升至</w:t>
      </w:r>
      <w:r>
        <w:t xml:space="preserve"> </w:t>
      </w:r>
      <w:r>
        <w:rPr>
          <w:rFonts w:hint="eastAsia"/>
        </w:rPr>
        <w:t xml:space="preserve">0.70–0.88。符號回歸的</w:t>
      </w:r>
      <w:r>
        <w:t xml:space="preserve"> 0.114 × FBG_(Y−1) </w:t>
      </w:r>
      <w:r>
        <w:rPr>
          <w:rFonts w:hint="eastAsia"/>
        </w:rPr>
        <w:t xml:space="preserve">在高血糖達</w:t>
      </w:r>
      <w:r>
        <w:t xml:space="preserve"> AUC </w:t>
      </w:r>
      <w:r>
        <w:rPr>
          <w:rFonts w:hint="eastAsia"/>
        </w:rPr>
        <w:t xml:space="preserve">0.943，且跨折穩定。</w:t>
      </w:r>
    </w:p>
    <w:p>
      <w:pPr>
        <w:pStyle w:val="FirstParagraph"/>
      </w:pPr>
      <w:r>
        <w:rPr>
          <w:b/>
          <w:bCs/>
        </w:rPr>
        <w:t xml:space="preserve">Conclusions.</w:t>
      </w:r>
      <w:r>
        <w:t xml:space="preserve"> </w:t>
      </w:r>
      <w:r>
        <w:t xml:space="preserve">Longitudinal checkup data combined with simple feature engineering and a linear model achieve clinically useful, well-generalizing, and interpretable prediction of all three conditions. A two-feature model or a one-variable formula suffices for several tasks, supporting low-cost early-warning deployment in primary care.</w:t>
      </w:r>
    </w:p>
    <w:p>
      <w:pPr>
        <w:pStyle w:val="BlockText"/>
      </w:pPr>
      <w:r>
        <w:rPr>
          <w:rFonts w:hint="eastAsia"/>
          <w:b/>
          <w:bCs/>
        </w:rPr>
        <w:t xml:space="preserve">結論。</w:t>
      </w:r>
      <w:r>
        <w:t xml:space="preserve"> </w:t>
      </w:r>
      <w:r>
        <w:rPr>
          <w:rFonts w:hint="eastAsia"/>
        </w:rPr>
        <w:t xml:space="preserve">縱向健檢資料結合簡單特徵工程與線性模型，即可對三高達到臨床可用、泛化良好且可解釋的預測。雙特徵模型或單變數公式在多項任務已足夠，支持在基層醫療部署低成本早期預警系統。</w:t>
      </w:r>
    </w:p>
    <w:p>
      <w:pPr>
        <w:pStyle w:val="FirstParagraph"/>
      </w:pPr>
      <w:r>
        <w:rPr>
          <w:b/>
          <w:bCs/>
        </w:rPr>
        <w:t xml:space="preserve">Keywords:</w:t>
      </w:r>
      <w:r>
        <w:t xml:space="preserve"> </w:t>
      </w:r>
      <w:r>
        <w:t xml:space="preserve">hypertension; hyperglycemia; dyslipidemia; machine learning; delta features</w:t>
      </w:r>
    </w:p>
    <w:p>
      <w:pPr>
        <w:pStyle w:val="BlockText"/>
      </w:pPr>
      <w:r>
        <w:rPr>
          <w:rFonts w:hint="eastAsia"/>
          <w:b/>
          <w:bCs/>
        </w:rPr>
        <w:t xml:space="preserve">關鍵詞：</w:t>
      </w:r>
      <w:r>
        <w:t xml:space="preserve"> </w:t>
      </w:r>
      <w:r>
        <w:rPr>
          <w:rFonts w:hint="eastAsia"/>
        </w:rPr>
        <w:t xml:space="preserve">高血壓；高血糖；高血脂；機器學習；變化量特徵</w:t>
      </w:r>
    </w:p>
    <w:p>
      <w:r>
        <w:pict>
          <v:rect style="width:0;height:1.5pt" o:hralign="center" o:hrstd="t" o:hr="t"/>
        </w:pict>
      </w:r>
    </w:p>
    <w:bookmarkEnd w:id="10"/>
    <w:bookmarkStart w:id="20" w:name="X445628d819a2bcc7721b48cb70e34ef88f87940"/>
    <w:p>
      <w:pPr>
        <w:pStyle w:val="Heading2"/>
      </w:pPr>
      <w:r>
        <w:t xml:space="preserve">1. Background</w:t>
      </w:r>
    </w:p>
    <w:p>
      <w:pPr>
        <w:pStyle w:val="Heading2"/>
      </w:pPr>
      <w:bookmarkStart w:id="11" w:name="Xd451b76db90ca6b0577b98e80e7d63cf33278bb"/>
      <w:r>
        <w:t xml:space="preserve">1. </w:t>
      </w:r>
      <w:r>
        <w:rPr>
          <w:rFonts w:hint="eastAsia"/>
        </w:rPr>
        <w:t xml:space="preserve">背景</w:t>
      </w:r>
      <w:bookmarkEnd w:id="11"/>
    </w:p>
    <w:bookmarkStart w:id="13" w:name="Xe978006a988a585f50b96c4b7752152124f1b49"/>
    <w:p>
      <w:pPr>
        <w:pStyle w:val="Heading3"/>
      </w:pPr>
      <w:r>
        <w:t xml:space="preserve">1.1 The public-health burden of the "three highs"</w:t>
      </w:r>
    </w:p>
    <w:p>
      <w:pPr>
        <w:pStyle w:val="Heading3"/>
      </w:pPr>
      <w:bookmarkStart w:id="12" w:name="X9075f57c28a8c4165475afb80370d4fb979d885"/>
      <w:r>
        <w:t xml:space="preserve">1.1 </w:t>
      </w:r>
      <w:r>
        <w:rPr>
          <w:rFonts w:hint="eastAsia"/>
        </w:rPr>
        <w:t xml:space="preserve">「三高」的公共衛生負擔</w:t>
      </w:r>
      <w:bookmarkEnd w:id="12"/>
    </w:p>
    <w:p>
      <w:pPr>
        <w:pStyle w:val="FirstParagraph"/>
      </w:pPr>
      <w:r>
        <w:t xml:space="preserve">Hypertension, hyperglycemia, and dyslipidemia are the dominant modifiable contributors to cardiovascular disease, stroke, and chronic kidney disease. Cardiovascular disease causes roughly 20 million deaths each year, close to one-third of global mortality [1]. The burden is especially heavy in Asia: more than a quarter of adults in the WHO Western Pacific region are hypertensive [2], and a small group of Asian countries accounts for nearly half of the world's diabetes cases [3]. Metabolic disease in East Asia has risen sharply, driven by genetic susceptibility, distinctive body-fat distribution, and rapid dietary westernization [4]. In Taiwan, the prevalence among adults aged ≥40 is 38.3% (hypertension), 34.1% (dyslipidemia), and 16.4% (hyperglycemia), yet 40–70% of affected individuals are unaware of their condition [5].</w:t>
      </w:r>
    </w:p>
    <w:p>
      <w:pPr>
        <w:pStyle w:val="BlockText"/>
      </w:pPr>
      <w:r>
        <w:rPr>
          <w:rFonts w:hint="eastAsia"/>
        </w:rPr>
        <w:t xml:space="preserve">高血壓、高血糖與高血脂是心血管疾病、中風與慢性腎病的主要可控成因。心血管疾病每年造成約</w:t>
      </w:r>
      <w:r>
        <w:t xml:space="preserve"> 2,000 </w:t>
      </w:r>
      <w:r>
        <w:rPr>
          <w:rFonts w:hint="eastAsia"/>
        </w:rPr>
        <w:t xml:space="preserve">萬人死亡，近全球死亡人數的三分之一</w:t>
      </w:r>
      <w:r>
        <w:t xml:space="preserve"> </w:t>
      </w:r>
      <w:r>
        <w:rPr>
          <w:rFonts w:hint="eastAsia"/>
        </w:rPr>
        <w:t xml:space="preserve">[1]。亞洲負擔尤重：WHO</w:t>
      </w:r>
      <w:r>
        <w:t xml:space="preserve"> </w:t>
      </w:r>
      <w:r>
        <w:rPr>
          <w:rFonts w:hint="eastAsia"/>
        </w:rPr>
        <w:t xml:space="preserve">西太平洋區逾四分之一成人罹患高血壓</w:t>
      </w:r>
      <w:r>
        <w:t xml:space="preserve"> </w:t>
      </w:r>
      <w:r>
        <w:rPr>
          <w:rFonts w:hint="eastAsia"/>
        </w:rPr>
        <w:t xml:space="preserve">[2]，少數亞洲國家即占全球糖尿病病例近半</w:t>
      </w:r>
      <w:r>
        <w:t xml:space="preserve"> </w:t>
      </w:r>
      <w:r>
        <w:rPr>
          <w:rFonts w:hint="eastAsia"/>
        </w:rPr>
        <w:t xml:space="preserve">[3]。東亞代謝疾病急遽上升，肇因於遺傳易感性、特殊體脂分布與飲食快速西化</w:t>
      </w:r>
      <w:r>
        <w:t xml:space="preserve"> </w:t>
      </w:r>
      <w:r>
        <w:rPr>
          <w:rFonts w:hint="eastAsia"/>
        </w:rPr>
        <w:t xml:space="preserve">[4]。在台灣，≥40</w:t>
      </w:r>
      <w:r>
        <w:t xml:space="preserve"> </w:t>
      </w:r>
      <w:r>
        <w:rPr>
          <w:rFonts w:hint="eastAsia"/>
        </w:rPr>
        <w:t xml:space="preserve">歲成人盛行率為高血壓</w:t>
      </w:r>
      <w:r>
        <w:t xml:space="preserve"> </w:t>
      </w:r>
      <w:r>
        <w:rPr>
          <w:rFonts w:hint="eastAsia"/>
        </w:rPr>
        <w:t xml:space="preserve">38.3%、高血脂</w:t>
      </w:r>
      <w:r>
        <w:t xml:space="preserve"> </w:t>
      </w:r>
      <w:r>
        <w:rPr>
          <w:rFonts w:hint="eastAsia"/>
        </w:rPr>
        <w:t xml:space="preserve">34.1%、高血糖</w:t>
      </w:r>
      <w:r>
        <w:t xml:space="preserve"> </w:t>
      </w:r>
      <w:r>
        <w:rPr>
          <w:rFonts w:hint="eastAsia"/>
        </w:rPr>
        <w:t xml:space="preserve">16.4%，但其中</w:t>
      </w:r>
      <w:r>
        <w:t xml:space="preserve"> 40–70% </w:t>
      </w:r>
      <w:r>
        <w:rPr>
          <w:rFonts w:hint="eastAsia"/>
        </w:rPr>
        <w:t xml:space="preserve">並不知道自己罹病</w:t>
      </w:r>
      <w:r>
        <w:t xml:space="preserve"> [5]。</w:t>
      </w:r>
    </w:p>
    <w:p>
      <w:pPr>
        <w:pStyle w:val="FirstParagraph"/>
      </w:pPr>
      <w:r>
        <w:t xml:space="preserve">The three conditions are mutually correlated and co-occur as the core of the metabolic syndrome: over 70% of patients with diabetes also have hypertension or dyslipidemia [6]. Metabolic-syndrome patients carry roughly twice the cardiovascular risk and five times the risk of type 2 diabetes [7]. This comorbidity argues for predicting the three conditions jointly rather than in isolation.</w:t>
      </w:r>
    </w:p>
    <w:p>
      <w:pPr>
        <w:pStyle w:val="BlockText"/>
      </w:pPr>
      <w:r>
        <w:rPr>
          <w:rFonts w:hint="eastAsia"/>
        </w:rPr>
        <w:t xml:space="preserve">三者相互關聯，並共同構成代謝症候群核心：逾</w:t>
      </w:r>
      <w:r>
        <w:t xml:space="preserve"> 70% </w:t>
      </w:r>
      <w:r>
        <w:rPr>
          <w:rFonts w:hint="eastAsia"/>
        </w:rPr>
        <w:t xml:space="preserve">糖尿病患者同時合併高血壓或高血脂</w:t>
      </w:r>
      <w:r>
        <w:t xml:space="preserve"> </w:t>
      </w:r>
      <w:r>
        <w:rPr>
          <w:rFonts w:hint="eastAsia"/>
        </w:rPr>
        <w:t xml:space="preserve">[6]。代謝症候群患者的心血管風險約為兩倍、第二型糖尿病風險約為五倍</w:t>
      </w:r>
      <w:r>
        <w:t xml:space="preserve"> </w:t>
      </w:r>
      <w:r>
        <w:rPr>
          <w:rFonts w:hint="eastAsia"/>
        </w:rPr>
        <w:t xml:space="preserve">[7]。此共病性說明應同時（而非個別）預測三高。</w:t>
      </w:r>
    </w:p>
    <w:bookmarkEnd w:id="13"/>
    <w:bookmarkStart w:id="15" w:name="X38a4a686fd99ad90bcf5cb80fc0fc2a7067271d"/>
    <w:p>
      <w:pPr>
        <w:pStyle w:val="Heading3"/>
      </w:pPr>
      <w:r>
        <w:t xml:space="preserve">1.2 The clinical value of early, longitudinal prediction</w:t>
      </w:r>
    </w:p>
    <w:p>
      <w:pPr>
        <w:pStyle w:val="Heading3"/>
      </w:pPr>
      <w:bookmarkStart w:id="14" w:name="X183cbee054d6ed41871edace8644244a6fe5d0a"/>
      <w:r>
        <w:t xml:space="preserve">1.2 </w:t>
      </w:r>
      <w:r>
        <w:rPr>
          <w:rFonts w:hint="eastAsia"/>
        </w:rPr>
        <w:t xml:space="preserve">早期縱向預測的臨床價值</w:t>
      </w:r>
      <w:bookmarkEnd w:id="14"/>
    </w:p>
    <w:p>
      <w:pPr>
        <w:pStyle w:val="FirstParagraph"/>
      </w:pPr>
      <w:r>
        <w:t xml:space="preserve">The three highs are typically asymptomatic early on and are often detected only at routine checkups or after complications arise. Because progression from health to disease usually passes through a multi-year prodromal phase—during which lifestyle change can still reverse risk—identifying high-risk individuals early is key. The trend toward younger onset prompted Taiwan to lower the eligibility age for adult preventive-health services from 40 to 30 in 2025 [8], extending screening demand to younger adults.</w:t>
      </w:r>
    </w:p>
    <w:p>
      <w:pPr>
        <w:pStyle w:val="BlockText"/>
      </w:pPr>
      <w:r>
        <w:rPr>
          <w:rFonts w:hint="eastAsia"/>
        </w:rPr>
        <w:t xml:space="preserve">三高初期多無症狀，常於例行健檢或併發症出現後才發現。由於從健康到發病通常歷經數年「前驅期」，期間透過生活型態調整仍可逆轉風險，因此及早辨識高風險者至關重要。疾病年輕化趨勢促使台灣於</w:t>
      </w:r>
      <w:r>
        <w:t xml:space="preserve"> 2025 </w:t>
      </w:r>
      <w:r>
        <w:rPr>
          <w:rFonts w:hint="eastAsia"/>
        </w:rPr>
        <w:t xml:space="preserve">年將成人預防保健服務年齡由</w:t>
      </w:r>
      <w:r>
        <w:t xml:space="preserve"> 40 </w:t>
      </w:r>
      <w:r>
        <w:rPr>
          <w:rFonts w:hint="eastAsia"/>
        </w:rPr>
        <w:t xml:space="preserve">歲下修至</w:t>
      </w:r>
      <w:r>
        <w:t xml:space="preserve"> 30 </w:t>
      </w:r>
      <w:r>
        <w:rPr>
          <w:rFonts w:hint="eastAsia"/>
        </w:rPr>
        <w:t xml:space="preserve">歲</w:t>
      </w:r>
      <w:r>
        <w:t xml:space="preserve"> </w:t>
      </w:r>
      <w:r>
        <w:rPr>
          <w:rFonts w:hint="eastAsia"/>
        </w:rPr>
        <w:t xml:space="preserve">[8]，將篩檢需求延伸至青壯年。</w:t>
      </w:r>
    </w:p>
    <w:p>
      <w:pPr>
        <w:pStyle w:val="FirstParagraph"/>
      </w:pPr>
      <w:r>
        <w:t xml:space="preserve">As checkups have become routine, large volumes of</w:t>
      </w:r>
      <w:r>
        <w:t xml:space="preserve"> </w:t>
      </w:r>
      <w:r>
        <w:rPr>
          <w:i/>
          <w:iCs/>
        </w:rPr>
        <w:t xml:space="preserve">longitudinal</w:t>
      </w:r>
      <w:r>
        <w:t xml:space="preserve"> </w:t>
      </w:r>
      <w:r>
        <w:t xml:space="preserve">checkup data have accumulated, recording how biomarkers evolve within an individual. Because health-status changes often precede a clinical diagnosis, longitudinal data are uniquely valuable for early prediction. Yet conventional risk-assessment tools rely on a single time point and do not exploit this dynamic information—the gap this study addresses.</w:t>
      </w:r>
    </w:p>
    <w:p>
      <w:pPr>
        <w:pStyle w:val="BlockText"/>
      </w:pPr>
      <w:r>
        <w:rPr>
          <w:rFonts w:hint="eastAsia"/>
        </w:rPr>
        <w:t xml:space="preserve">隨健檢普及，大量</w:t>
      </w:r>
      <w:r>
        <w:rPr>
          <w:rFonts w:hint="eastAsia"/>
          <w:i/>
          <w:iCs/>
        </w:rPr>
        <w:t xml:space="preserve">縱向</w:t>
      </w:r>
      <w:r>
        <w:rPr>
          <w:rFonts w:hint="eastAsia"/>
        </w:rPr>
        <w:t xml:space="preserve">健檢資料持續累積，記錄個體生物標記隨時間的演變。由於健康狀態變化常先於臨床診斷，縱向資料在早期預測上具獨特價值。然而傳統風險評估工具僅依賴單一時間點，未利用此動態資訊——這正是本研究欲填補的缺口。</w:t>
      </w:r>
    </w:p>
    <w:bookmarkEnd w:id="15"/>
    <w:bookmarkStart w:id="17" w:name="Xd2ccc6a254d9f66c06c0bfec45299a9a09f67b2"/>
    <w:p>
      <w:pPr>
        <w:pStyle w:val="Heading3"/>
      </w:pPr>
      <w:r>
        <w:t xml:space="preserve">1.3 Related work and gaps</w:t>
      </w:r>
    </w:p>
    <w:p>
      <w:pPr>
        <w:pStyle w:val="Heading3"/>
      </w:pPr>
      <w:bookmarkStart w:id="16" w:name="X01c7891a1fd8df41589a4ed75397a81fa32fcca"/>
      <w:r>
        <w:t xml:space="preserve">1.3 </w:t>
      </w:r>
      <w:r>
        <w:rPr>
          <w:rFonts w:hint="eastAsia"/>
        </w:rPr>
        <w:t xml:space="preserve">相關研究與缺口</w:t>
      </w:r>
      <w:bookmarkEnd w:id="16"/>
    </w:p>
    <w:p>
      <w:pPr>
        <w:pStyle w:val="FirstParagraph"/>
      </w:pPr>
      <w:r>
        <w:t xml:space="preserve">Machine learning has been applied widely to single-disease checkup prediction. For hypertension, Kanegae et al. used XGBoost on Japanese occupational checkups (n=18,258, AUC 0.881) with longitudinal change features [9]; Ye et al. predicted one-year incident hypertension from US EHRs (n=823,627, AUC 0.917), though top features were antihypertensive drugs, raising leakage concerns [10]; Wang et al. showed on Taiwanese checkups (n=207,488) that more checkups improve accuracy (AUC 0.889) [11]. For diabetes, Liu et al. reached AUC 0.93 over a 10-year cohort [12], and Yang et al. found baseline fasting glucose overwhelmingly dominant [13]. Broader work includes Alaa et al. (UK Biobank, AUC 0.774) [14], Dinh et al. (NHANES, AUC 0.862) [15], Hung et al. (masked hypertension, AUC 0.851) [16], and Majcherek et al. (BRFSS) [17].</w:t>
      </w:r>
    </w:p>
    <w:p>
      <w:pPr>
        <w:pStyle w:val="BlockText"/>
      </w:pPr>
      <w:r>
        <w:rPr>
          <w:rFonts w:hint="eastAsia"/>
        </w:rPr>
        <w:t xml:space="preserve">機器學習已廣泛用於單一疾病的健檢預測。高血壓方面，Kanegae</w:t>
      </w:r>
      <w:r>
        <w:t xml:space="preserve"> </w:t>
      </w:r>
      <w:r>
        <w:rPr>
          <w:rFonts w:hint="eastAsia"/>
        </w:rPr>
        <w:t xml:space="preserve">等人以</w:t>
      </w:r>
      <w:r>
        <w:t xml:space="preserve"> XGBoost </w:t>
      </w:r>
      <w:r>
        <w:rPr>
          <w:rFonts w:hint="eastAsia"/>
        </w:rPr>
        <w:t xml:space="preserve">處理日本職場健檢（n=18,258，AUC</w:t>
      </w:r>
      <w:r>
        <w:t xml:space="preserve"> </w:t>
      </w:r>
      <w:r>
        <w:rPr>
          <w:rFonts w:hint="eastAsia"/>
        </w:rPr>
        <w:t xml:space="preserve">0.881）並使用縱向變化量特徵</w:t>
      </w:r>
      <w:r>
        <w:t xml:space="preserve"> </w:t>
      </w:r>
      <w:r>
        <w:rPr>
          <w:rFonts w:hint="eastAsia"/>
        </w:rPr>
        <w:t xml:space="preserve">[9]；Ye</w:t>
      </w:r>
      <w:r>
        <w:t xml:space="preserve"> </w:t>
      </w:r>
      <w:r>
        <w:rPr>
          <w:rFonts w:hint="eastAsia"/>
        </w:rPr>
        <w:t xml:space="preserve">等人以美國</w:t>
      </w:r>
      <w:r>
        <w:t xml:space="preserve"> EHR </w:t>
      </w:r>
      <w:r>
        <w:rPr>
          <w:rFonts w:hint="eastAsia"/>
        </w:rPr>
        <w:t xml:space="preserve">預測一年內新發高血壓（n=823,627，AUC</w:t>
      </w:r>
      <w:r>
        <w:t xml:space="preserve"> </w:t>
      </w:r>
      <w:r>
        <w:rPr>
          <w:rFonts w:hint="eastAsia"/>
        </w:rPr>
        <w:t xml:space="preserve">0.917），但前幾名特徵為降壓藥物，有資料洩漏疑慮</w:t>
      </w:r>
      <w:r>
        <w:t xml:space="preserve"> </w:t>
      </w:r>
      <w:r>
        <w:rPr>
          <w:rFonts w:hint="eastAsia"/>
        </w:rPr>
        <w:t xml:space="preserve">[10]；Wang</w:t>
      </w:r>
      <w:r>
        <w:t xml:space="preserve"> </w:t>
      </w:r>
      <w:r>
        <w:rPr>
          <w:rFonts w:hint="eastAsia"/>
        </w:rPr>
        <w:t xml:space="preserve">等人在台灣健檢（n=207,488）證實健檢次數越多準確度越高（AUC</w:t>
      </w:r>
      <w:r>
        <w:t xml:space="preserve"> </w:t>
      </w:r>
      <w:r>
        <w:rPr>
          <w:rFonts w:hint="eastAsia"/>
        </w:rPr>
        <w:t xml:space="preserve">0.889）[11]。糖尿病方面，Liu</w:t>
      </w:r>
      <w:r>
        <w:t xml:space="preserve"> </w:t>
      </w:r>
      <w:r>
        <w:rPr>
          <w:rFonts w:hint="eastAsia"/>
        </w:rPr>
        <w:t xml:space="preserve">等人於十年世代達</w:t>
      </w:r>
      <w:r>
        <w:t xml:space="preserve"> AUC 0.93 </w:t>
      </w:r>
      <w:r>
        <w:rPr>
          <w:rFonts w:hint="eastAsia"/>
        </w:rPr>
        <w:t xml:space="preserve">[12]，Yang</w:t>
      </w:r>
      <w:r>
        <w:t xml:space="preserve"> </w:t>
      </w:r>
      <w:r>
        <w:rPr>
          <w:rFonts w:hint="eastAsia"/>
        </w:rPr>
        <w:t xml:space="preserve">等人發現基線空腹血糖具壓倒性重要性</w:t>
      </w:r>
      <w:r>
        <w:t xml:space="preserve"> </w:t>
      </w:r>
      <w:r>
        <w:rPr>
          <w:rFonts w:hint="eastAsia"/>
        </w:rPr>
        <w:t xml:space="preserve">[13]。其他研究包括</w:t>
      </w:r>
      <w:r>
        <w:t xml:space="preserve"> Alaa </w:t>
      </w:r>
      <w:r>
        <w:rPr>
          <w:rFonts w:hint="eastAsia"/>
        </w:rPr>
        <w:t xml:space="preserve">等人（UK</w:t>
      </w:r>
      <w:r>
        <w:t xml:space="preserve"> </w:t>
      </w:r>
      <w:r>
        <w:rPr>
          <w:rFonts w:hint="eastAsia"/>
        </w:rPr>
        <w:t xml:space="preserve">Biobank，AUC</w:t>
      </w:r>
      <w:r>
        <w:t xml:space="preserve"> </w:t>
      </w:r>
      <w:r>
        <w:rPr>
          <w:rFonts w:hint="eastAsia"/>
        </w:rPr>
        <w:t xml:space="preserve">0.774）[14]、Dinh</w:t>
      </w:r>
      <w:r>
        <w:t xml:space="preserve"> </w:t>
      </w:r>
      <w:r>
        <w:rPr>
          <w:rFonts w:hint="eastAsia"/>
        </w:rPr>
        <w:t xml:space="preserve">等人（NHANES，AUC</w:t>
      </w:r>
      <w:r>
        <w:t xml:space="preserve"> </w:t>
      </w:r>
      <w:r>
        <w:rPr>
          <w:rFonts w:hint="eastAsia"/>
        </w:rPr>
        <w:t xml:space="preserve">0.862）[15]、Hung</w:t>
      </w:r>
      <w:r>
        <w:t xml:space="preserve"> </w:t>
      </w:r>
      <w:r>
        <w:rPr>
          <w:rFonts w:hint="eastAsia"/>
        </w:rPr>
        <w:t xml:space="preserve">等人（隱匿性高血壓，AUC</w:t>
      </w:r>
      <w:r>
        <w:t xml:space="preserve"> </w:t>
      </w:r>
      <w:r>
        <w:rPr>
          <w:rFonts w:hint="eastAsia"/>
        </w:rPr>
        <w:t xml:space="preserve">0.851）[16]</w:t>
      </w:r>
      <w:r>
        <w:t xml:space="preserve"> </w:t>
      </w:r>
      <w:r>
        <w:rPr>
          <w:rFonts w:hint="eastAsia"/>
        </w:rPr>
        <w:t xml:space="preserve">與</w:t>
      </w:r>
      <w:r>
        <w:t xml:space="preserve"> Majcherek </w:t>
      </w:r>
      <w:r>
        <w:rPr>
          <w:rFonts w:hint="eastAsia"/>
        </w:rPr>
        <w:t xml:space="preserve">等人（BRFSS）[17]。</w:t>
      </w:r>
    </w:p>
    <w:p>
      <w:pPr>
        <w:pStyle w:val="FirstParagraph"/>
      </w:pPr>
      <w:r>
        <w:t xml:space="preserve">Three gaps recur. First, almost all studies predict a</w:t>
      </w:r>
      <w:r>
        <w:t xml:space="preserve"> </w:t>
      </w:r>
      <w:r>
        <w:rPr>
          <w:i/>
          <w:iCs/>
        </w:rPr>
        <w:t xml:space="preserve">single</w:t>
      </w:r>
      <w:r>
        <w:t xml:space="preserve"> </w:t>
      </w:r>
      <w:r>
        <w:t xml:space="preserve">disease, despite strong comorbidity. Second, model comparisons are narrow, leaving clinicians without comprehensive model-selection evidence [18]. Third, interpretability—essential for clinical adoption—is rarely addressed. Multi-task learning has been proposed for joint chronic-disease prediction (Tsai et al. found multi-task and single-task comparable with fewer parameters [19]) but not for the three highs with delta features.</w:t>
      </w:r>
    </w:p>
    <w:p>
      <w:pPr>
        <w:pStyle w:val="BlockText"/>
      </w:pPr>
      <w:r>
        <w:rPr>
          <w:rFonts w:hint="eastAsia"/>
        </w:rPr>
        <w:t xml:space="preserve">三個缺口反覆出現。其一，儘管共病性強，幾乎所有研究僅預測</w:t>
      </w:r>
      <w:r>
        <w:rPr>
          <w:rFonts w:hint="eastAsia"/>
          <w:i/>
          <w:iCs/>
        </w:rPr>
        <w:t xml:space="preserve">單一</w:t>
      </w:r>
      <w:r>
        <w:rPr>
          <w:rFonts w:hint="eastAsia"/>
        </w:rPr>
        <w:t xml:space="preserve">疾病。其二，模型比較範圍狹窄，臨床端缺乏完整的模型選擇依據</w:t>
      </w:r>
      <w:r>
        <w:t xml:space="preserve"> </w:t>
      </w:r>
      <w:r>
        <w:rPr>
          <w:rFonts w:hint="eastAsia"/>
        </w:rPr>
        <w:t xml:space="preserve">[18]。其三，對臨床採用至關重要的可解釋性少被探討。多任務學習雖被提出用於慢性病聯合預測（Tsai</w:t>
      </w:r>
      <w:r>
        <w:t xml:space="preserve"> </w:t>
      </w:r>
      <w:r>
        <w:rPr>
          <w:rFonts w:hint="eastAsia"/>
        </w:rPr>
        <w:t xml:space="preserve">等人發現多任務與單任務效能相當但參數更少</w:t>
      </w:r>
      <w:r>
        <w:t xml:space="preserve"> </w:t>
      </w:r>
      <w:r>
        <w:rPr>
          <w:rFonts w:hint="eastAsia"/>
        </w:rPr>
        <w:t xml:space="preserve">[19]），但尚未用於結合</w:t>
      </w:r>
      <w:r>
        <w:t xml:space="preserve"> Δ </w:t>
      </w:r>
      <w:r>
        <w:rPr>
          <w:rFonts w:hint="eastAsia"/>
        </w:rPr>
        <w:t xml:space="preserve">特徵的三高預測。</w:t>
      </w:r>
    </w:p>
    <w:bookmarkEnd w:id="17"/>
    <w:bookmarkStart w:id="19" w:name="X4bfc4c820570b719c8f4a38a9679955033751dc"/>
    <w:p>
      <w:pPr>
        <w:pStyle w:val="Heading3"/>
      </w:pPr>
      <w:r>
        <w:t xml:space="preserve">1.4 Objectives and contributions</w:t>
      </w:r>
    </w:p>
    <w:p>
      <w:pPr>
        <w:pStyle w:val="Heading3"/>
      </w:pPr>
      <w:bookmarkStart w:id="18" w:name="Xb80506823b3f871734c1692da37f5f37eca2ff9"/>
      <w:r>
        <w:t xml:space="preserve">1.4 </w:t>
      </w:r>
      <w:r>
        <w:rPr>
          <w:rFonts w:hint="eastAsia"/>
        </w:rPr>
        <w:t xml:space="preserve">研究目標與貢獻</w:t>
      </w:r>
      <w:bookmarkEnd w:id="18"/>
    </w:p>
    <w:p>
      <w:pPr>
        <w:pStyle w:val="FirstParagraph"/>
      </w:pPr>
      <w:r>
        <w:t xml:space="preserve">We build a longitudinal framework predicting the three highs simultaneously, evaluated comprehensively. Contributions: (1) a systematic comparison of ten classifiers plus symbolic regression across the three conditions, with leakage-controlled validation; (2) a complete ablation disentangling the predictive versus interpretive roles of delta features; (3) interpretability analysis combining SHAP and symbolic regression, including single-variable formulas with clinically useful accuracy; and (4) robustness experiments (class imbalance, data filtering, checkup frequency, multi-task vs single-task) establishing the stability of the findings. All data are public, making the study fully reproducible.</w:t>
      </w:r>
    </w:p>
    <w:p>
      <w:pPr>
        <w:pStyle w:val="BlockText"/>
      </w:pPr>
      <w:r>
        <w:rPr>
          <w:rFonts w:hint="eastAsia"/>
        </w:rPr>
        <w:t xml:space="preserve">本研究建立同時預測三高的縱向框架並全面評估。貢獻包括：(1)</w:t>
      </w:r>
      <w:r>
        <w:t xml:space="preserve"> </w:t>
      </w:r>
      <w:r>
        <w:rPr>
          <w:rFonts w:hint="eastAsia"/>
        </w:rPr>
        <w:t xml:space="preserve">跨三項疾病系統性比較十種分類器加符號回歸，並以無洩漏驗證；(2)</w:t>
      </w:r>
      <w:r>
        <w:t xml:space="preserve"> </w:t>
      </w:r>
      <w:r>
        <w:rPr>
          <w:rFonts w:hint="eastAsia"/>
        </w:rPr>
        <w:t xml:space="preserve">完整消融實驗釐清</w:t>
      </w:r>
      <w:r>
        <w:t xml:space="preserve"> Δ </w:t>
      </w:r>
      <w:r>
        <w:rPr>
          <w:rFonts w:hint="eastAsia"/>
        </w:rPr>
        <w:t xml:space="preserve">特徵在「預測」與「解釋」上的不同角色；(3)</w:t>
      </w:r>
      <w:r>
        <w:t xml:space="preserve"> </w:t>
      </w:r>
      <w:r>
        <w:rPr>
          <w:rFonts w:hint="eastAsia"/>
        </w:rPr>
        <w:t xml:space="preserve">結合</w:t>
      </w:r>
      <w:r>
        <w:t xml:space="preserve"> SHAP </w:t>
      </w:r>
      <w:r>
        <w:rPr>
          <w:rFonts w:hint="eastAsia"/>
        </w:rPr>
        <w:t xml:space="preserve">與符號回歸的可解釋性分析，含具臨床可用準確度的單變數公式；(4)</w:t>
      </w:r>
      <w:r>
        <w:t xml:space="preserve"> </w:t>
      </w:r>
      <w:r>
        <w:rPr>
          <w:rFonts w:hint="eastAsia"/>
        </w:rPr>
        <w:t xml:space="preserve">多組穩健性實驗（類別不平衡、資料篩選、健檢次數、多任務</w:t>
      </w:r>
      <w:r>
        <w:t xml:space="preserve"> vs </w:t>
      </w:r>
      <w:r>
        <w:rPr>
          <w:rFonts w:hint="eastAsia"/>
        </w:rPr>
        <w:t xml:space="preserve">單任務）確立發現的穩定性。所有資料公開，研究完全可重現。</w:t>
      </w:r>
    </w:p>
    <w:p>
      <w:r>
        <w:pict>
          <v:rect style="width:0;height:1.5pt" o:hralign="center" o:hrstd="t" o:hr="t"/>
        </w:pict>
      </w:r>
    </w:p>
    <w:bookmarkEnd w:id="19"/>
    <w:bookmarkEnd w:id="20"/>
    <w:bookmarkStart w:id="34" w:name="X13a0e8c10c405dd53d0e570bcbfcb0c8de7ee9e"/>
    <w:p>
      <w:pPr>
        <w:pStyle w:val="Heading2"/>
      </w:pPr>
      <w:r>
        <w:t xml:space="preserve">2. Methods</w:t>
      </w:r>
    </w:p>
    <w:p>
      <w:pPr>
        <w:pStyle w:val="Heading2"/>
      </w:pPr>
      <w:bookmarkStart w:id="21" w:name="X14f36fc216e3c9eb9e996f6ce32ef7db8848593"/>
      <w:r>
        <w:t xml:space="preserve">2. </w:t>
      </w:r>
      <w:r>
        <w:rPr>
          <w:rFonts w:hint="eastAsia"/>
        </w:rPr>
        <w:t xml:space="preserve">方法</w:t>
      </w:r>
      <w:bookmarkEnd w:id="21"/>
    </w:p>
    <w:bookmarkStart w:id="23" w:name="X6c7d783fdd75965e3333f8b577eac69320f402d"/>
    <w:p>
      <w:pPr>
        <w:pStyle w:val="Heading3"/>
      </w:pPr>
      <w:r>
        <w:t xml:space="preserve">2.1 Data source and cohort</w:t>
      </w:r>
    </w:p>
    <w:p>
      <w:pPr>
        <w:pStyle w:val="Heading3"/>
      </w:pPr>
      <w:bookmarkStart w:id="22" w:name="X545cc4313f10acf11002735218767971d87e1e1"/>
      <w:r>
        <w:t xml:space="preserve">2.1 </w:t>
      </w:r>
      <w:r>
        <w:rPr>
          <w:rFonts w:hint="eastAsia"/>
        </w:rPr>
        <w:t xml:space="preserve">資料來源與世代</w:t>
      </w:r>
      <w:bookmarkEnd w:id="22"/>
    </w:p>
    <w:p>
      <w:pPr>
        <w:pStyle w:val="FirstParagraph"/>
      </w:pPr>
      <w:r>
        <w:t xml:space="preserve">We used the longitudinal community health-checkup dataset published by Luo et al. on Dryad [20,21]: community health surveys in Hangzhou, China, 2010–2018, enrolling adults aged ≥40 (6,119 participants, 25,744 records), most with three or more checkups. The dataset records visit number rather than calendar date; intervals were inferred from age differences. About 90% kept a fixed 2-year interval (mean 1.90 years, SD 0.36), so delta features are directly comparable. We excluded 63 individuals (1.03%) with fewer than three valid records, leaving</w:t>
      </w:r>
      <w:r>
        <w:t xml:space="preserve"> </w:t>
      </w:r>
      <w:r>
        <w:rPr>
          <w:b/>
          <w:bCs/>
        </w:rPr>
        <w:t xml:space="preserve">6,056 participants</w:t>
      </w:r>
      <w:r>
        <w:t xml:space="preserve"> </w:t>
      </w:r>
      <w:r>
        <w:t xml:space="preserve">(98.97% retention). Disease labels follow international thresholds [22–24]: hypertension SBP ≥140 or DBP ≥90 mmHg; hyperglycemia FBG ≥7.0 mmol/L; dyslipidemia TC ≥6.22 mmol/L, recoded to binary 0/1.</w:t>
      </w:r>
    </w:p>
    <w:p>
      <w:pPr>
        <w:pStyle w:val="BlockText"/>
      </w:pPr>
      <w:r>
        <w:rPr>
          <w:rFonts w:hint="eastAsia"/>
        </w:rPr>
        <w:t xml:space="preserve">使用</w:t>
      </w:r>
      <w:r>
        <w:t xml:space="preserve"> Luo </w:t>
      </w:r>
      <w:r>
        <w:rPr>
          <w:rFonts w:hint="eastAsia"/>
        </w:rPr>
        <w:t xml:space="preserve">等人公開於</w:t>
      </w:r>
      <w:r>
        <w:t xml:space="preserve"> Dryad </w:t>
      </w:r>
      <w:r>
        <w:rPr>
          <w:rFonts w:hint="eastAsia"/>
        </w:rPr>
        <w:t xml:space="preserve">的縱向社區健檢資料</w:t>
      </w:r>
      <w:r>
        <w:t xml:space="preserve"> </w:t>
      </w:r>
      <w:r>
        <w:rPr>
          <w:rFonts w:hint="eastAsia"/>
        </w:rPr>
        <w:t xml:space="preserve">[20,21]：中國杭州</w:t>
      </w:r>
      <w:r>
        <w:t xml:space="preserve"> 2010–2018 </w:t>
      </w:r>
      <w:r>
        <w:rPr>
          <w:rFonts w:hint="eastAsia"/>
        </w:rPr>
        <w:t xml:space="preserve">年社區健康調查，納入</w:t>
      </w:r>
      <w:r>
        <w:t xml:space="preserve"> ≥40 </w:t>
      </w:r>
      <w:r>
        <w:rPr>
          <w:rFonts w:hint="eastAsia"/>
        </w:rPr>
        <w:t xml:space="preserve">歲成人（6,119</w:t>
      </w:r>
      <w:r>
        <w:t xml:space="preserve"> </w:t>
      </w:r>
      <w:r>
        <w:rPr>
          <w:rFonts w:hint="eastAsia"/>
        </w:rPr>
        <w:t xml:space="preserve">人、25,744</w:t>
      </w:r>
      <w:r>
        <w:t xml:space="preserve"> </w:t>
      </w:r>
      <w:r>
        <w:rPr>
          <w:rFonts w:hint="eastAsia"/>
        </w:rPr>
        <w:t xml:space="preserve">筆紀錄），多數有三次以上健檢。資料僅記錄「第幾次健檢」而非日期，間隔以年齡差推算。約</w:t>
      </w:r>
      <w:r>
        <w:t xml:space="preserve"> 90% </w:t>
      </w:r>
      <w:r>
        <w:rPr>
          <w:rFonts w:hint="eastAsia"/>
        </w:rPr>
        <w:t xml:space="preserve">維持固定</w:t>
      </w:r>
      <w:r>
        <w:t xml:space="preserve"> 2 </w:t>
      </w:r>
      <w:r>
        <w:rPr>
          <w:rFonts w:hint="eastAsia"/>
        </w:rPr>
        <w:t xml:space="preserve">年間隔（平均</w:t>
      </w:r>
      <w:r>
        <w:t xml:space="preserve"> 1.90 </w:t>
      </w:r>
      <w:r>
        <w:rPr>
          <w:rFonts w:hint="eastAsia"/>
        </w:rPr>
        <w:t xml:space="preserve">年、標準差</w:t>
      </w:r>
      <w:r>
        <w:t xml:space="preserve"> </w:t>
      </w:r>
      <w:r>
        <w:rPr>
          <w:rFonts w:hint="eastAsia"/>
        </w:rPr>
        <w:t xml:space="preserve">0.36），故</w:t>
      </w:r>
      <w:r>
        <w:t xml:space="preserve"> Δ </w:t>
      </w:r>
      <w:r>
        <w:rPr>
          <w:rFonts w:hint="eastAsia"/>
        </w:rPr>
        <w:t xml:space="preserve">特徵可直接比較。本研究排除</w:t>
      </w:r>
      <w:r>
        <w:t xml:space="preserve"> 63 </w:t>
      </w:r>
      <w:r>
        <w:rPr>
          <w:rFonts w:hint="eastAsia"/>
        </w:rPr>
        <w:t xml:space="preserve">位（1.03%）有效紀錄不足三次者，保留</w:t>
      </w:r>
      <w:r>
        <w:t xml:space="preserve"> </w:t>
      </w:r>
      <w:r>
        <w:rPr>
          <w:b/>
          <w:bCs/>
        </w:rPr>
        <w:t xml:space="preserve">6,056 </w:t>
      </w:r>
      <w:r>
        <w:rPr>
          <w:rFonts w:hint="eastAsia"/>
          <w:b/>
          <w:bCs/>
        </w:rPr>
        <w:t xml:space="preserve">人</w:t>
      </w:r>
      <w:r>
        <w:rPr>
          <w:rFonts w:hint="eastAsia"/>
        </w:rPr>
        <w:t xml:space="preserve">（保留率</w:t>
      </w:r>
      <w:r>
        <w:t xml:space="preserve"> </w:t>
      </w:r>
      <w:r>
        <w:rPr>
          <w:rFonts w:hint="eastAsia"/>
        </w:rPr>
        <w:t xml:space="preserve">98.97%）。疾病標記依國際閾值</w:t>
      </w:r>
      <w:r>
        <w:t xml:space="preserve"> </w:t>
      </w:r>
      <w:r>
        <w:rPr>
          <w:rFonts w:hint="eastAsia"/>
        </w:rPr>
        <w:t xml:space="preserve">[22–24]：高血壓</w:t>
      </w:r>
      <w:r>
        <w:t xml:space="preserve"> SBP ≥140 </w:t>
      </w:r>
      <w:r>
        <w:rPr>
          <w:rFonts w:hint="eastAsia"/>
        </w:rPr>
        <w:t xml:space="preserve">或</w:t>
      </w:r>
      <w:r>
        <w:t xml:space="preserve"> DBP ≥90 </w:t>
      </w:r>
      <w:r>
        <w:rPr>
          <w:rFonts w:hint="eastAsia"/>
        </w:rPr>
        <w:t xml:space="preserve">mmHg；高血糖</w:t>
      </w:r>
      <w:r>
        <w:t xml:space="preserve"> FBG ≥7.0 </w:t>
      </w:r>
      <w:r>
        <w:rPr>
          <w:rFonts w:hint="eastAsia"/>
        </w:rPr>
        <w:t xml:space="preserve">mmol/L；高血脂</w:t>
      </w:r>
      <w:r>
        <w:t xml:space="preserve"> TC ≥6.22 </w:t>
      </w:r>
      <w:r>
        <w:rPr>
          <w:rFonts w:hint="eastAsia"/>
        </w:rPr>
        <w:t xml:space="preserve">mmol/L，並重新編碼為二元</w:t>
      </w:r>
      <w:r>
        <w:t xml:space="preserve"> 0/1。</w:t>
      </w:r>
    </w:p>
    <w:bookmarkEnd w:id="23"/>
    <w:bookmarkStart w:id="25" w:name="X2b35624840bcfc697e1834a445c2ca5a437f79e"/>
    <w:p>
      <w:pPr>
        <w:pStyle w:val="Heading3"/>
      </w:pPr>
      <w:r>
        <w:t xml:space="preserve">2.2 Study design and sliding window</w:t>
      </w:r>
    </w:p>
    <w:p>
      <w:pPr>
        <w:pStyle w:val="Heading3"/>
      </w:pPr>
      <w:bookmarkStart w:id="24" w:name="Xb090d03707088681839ee5497248b8736ffd752"/>
      <w:r>
        <w:t xml:space="preserve">2.2 </w:t>
      </w:r>
      <w:r>
        <w:rPr>
          <w:rFonts w:hint="eastAsia"/>
        </w:rPr>
        <w:t xml:space="preserve">研究設計與滑動窗口</w:t>
      </w:r>
      <w:bookmarkEnd w:id="24"/>
    </w:p>
    <w:p>
      <w:pPr>
        <w:pStyle w:val="FirstParagraph"/>
      </w:pPr>
      <w:r>
        <w:t xml:space="preserve">We adopted a three-time-point design, naming time points relative to target year Y0: Y−2 (≈4 years prior), Y−1 (≈2 years prior), Y0 (target). Inputs are biomarkers at Y−2 and Y−1 plus their changes; the target is disease status at Y0. Predicting Y0 rather than Y−1 avoids leakage and provides a ~2-year warning window. A sliding window (a participant with N checkups yields N−2 records) expanded 6,056 participants to</w:t>
      </w:r>
      <w:r>
        <w:t xml:space="preserve"> </w:t>
      </w:r>
      <w:r>
        <w:rPr>
          <w:b/>
          <w:bCs/>
        </w:rPr>
        <w:t xml:space="preserve">13,514 records</w:t>
      </w:r>
      <w:r>
        <w:t xml:space="preserve">. Because one participant contributes multiple records, cross-validation must keep all of a participant's records in the same fold.</w:t>
      </w:r>
    </w:p>
    <w:p>
      <w:pPr>
        <w:pStyle w:val="BlockText"/>
      </w:pPr>
      <w:r>
        <w:rPr>
          <w:rFonts w:hint="eastAsia"/>
        </w:rPr>
        <w:t xml:space="preserve">採三時間點設計，相對於目標年</w:t>
      </w:r>
      <w:r>
        <w:t xml:space="preserve"> Y0 </w:t>
      </w:r>
      <w:r>
        <w:rPr>
          <w:rFonts w:hint="eastAsia"/>
        </w:rPr>
        <w:t xml:space="preserve">命名：Y−2（約四年前）、Y−1（約兩年前）、Y0（目標）。輸入為</w:t>
      </w:r>
      <w:r>
        <w:t xml:space="preserve"> Y−2 </w:t>
      </w:r>
      <w:r>
        <w:rPr>
          <w:rFonts w:hint="eastAsia"/>
        </w:rPr>
        <w:t xml:space="preserve">與</w:t>
      </w:r>
      <w:r>
        <w:t xml:space="preserve"> Y−1 </w:t>
      </w:r>
      <w:r>
        <w:rPr>
          <w:rFonts w:hint="eastAsia"/>
        </w:rPr>
        <w:t xml:space="preserve">的生物標記及其變化量；目標為</w:t>
      </w:r>
      <w:r>
        <w:t xml:space="preserve"> Y0 </w:t>
      </w:r>
      <w:r>
        <w:rPr>
          <w:rFonts w:hint="eastAsia"/>
        </w:rPr>
        <w:t xml:space="preserve">的疾病狀態。以</w:t>
      </w:r>
      <w:r>
        <w:t xml:space="preserve"> </w:t>
      </w:r>
      <w:r>
        <w:rPr>
          <w:rFonts w:hint="eastAsia"/>
        </w:rPr>
        <w:t xml:space="preserve">Y0（而非</w:t>
      </w:r>
      <w:r>
        <w:t xml:space="preserve"> </w:t>
      </w:r>
      <w:r>
        <w:rPr>
          <w:rFonts w:hint="eastAsia"/>
        </w:rPr>
        <w:t xml:space="preserve">Y−1）為目標可避免洩漏，並提供約兩年的預警窗口。滑動窗口（N</w:t>
      </w:r>
      <w:r>
        <w:t xml:space="preserve"> </w:t>
      </w:r>
      <w:r>
        <w:rPr>
          <w:rFonts w:hint="eastAsia"/>
        </w:rPr>
        <w:t xml:space="preserve">次健檢者產生</w:t>
      </w:r>
      <w:r>
        <w:t xml:space="preserve"> N−2 </w:t>
      </w:r>
      <w:r>
        <w:rPr>
          <w:rFonts w:hint="eastAsia"/>
        </w:rPr>
        <w:t xml:space="preserve">筆紀錄）將</w:t>
      </w:r>
      <w:r>
        <w:t xml:space="preserve"> 6,056 </w:t>
      </w:r>
      <w:r>
        <w:rPr>
          <w:rFonts w:hint="eastAsia"/>
        </w:rPr>
        <w:t xml:space="preserve">人擴增為</w:t>
      </w:r>
      <w:r>
        <w:t xml:space="preserve"> </w:t>
      </w:r>
      <w:r>
        <w:rPr>
          <w:b/>
          <w:bCs/>
        </w:rPr>
        <w:t xml:space="preserve">13,514 </w:t>
      </w:r>
      <w:r>
        <w:rPr>
          <w:rFonts w:hint="eastAsia"/>
          <w:b/>
          <w:bCs/>
        </w:rPr>
        <w:t xml:space="preserve">筆</w:t>
      </w:r>
      <w:r>
        <w:rPr>
          <w:rFonts w:hint="eastAsia"/>
        </w:rPr>
        <w:t xml:space="preserve">。由於同一人貢獻多筆紀錄，交叉驗證須將同一人所有紀錄留在同一折。</w:t>
      </w:r>
    </w:p>
    <w:bookmarkEnd w:id="25"/>
    <w:bookmarkStart w:id="27" w:name="X20acb41010b44381262ac48fd7415c20fb18bbf"/>
    <w:p>
      <w:pPr>
        <w:pStyle w:val="Heading3"/>
      </w:pPr>
      <w:r>
        <w:t xml:space="preserve">2.3 Feature engineering</w:t>
      </w:r>
    </w:p>
    <w:p>
      <w:pPr>
        <w:pStyle w:val="Heading3"/>
      </w:pPr>
      <w:bookmarkStart w:id="26" w:name="X88ad171a6e66d115ced39b4dc8f013431b62600"/>
      <w:r>
        <w:t xml:space="preserve">2.3 </w:t>
      </w:r>
      <w:r>
        <w:rPr>
          <w:rFonts w:hint="eastAsia"/>
        </w:rPr>
        <w:t xml:space="preserve">特徵工程</w:t>
      </w:r>
      <w:bookmarkEnd w:id="26"/>
    </w:p>
    <w:p>
      <w:pPr>
        <w:pStyle w:val="FirstParagraph"/>
      </w:pPr>
      <w:r>
        <w:t xml:space="preserve">Twenty-six features (Table 1): two demographics; eight biomarkers each at Y−2 and Y−1 (FBG, TC, Cr, UA, eGFR, BMI, SBP, DBP); and eight deltas, Δ_i = X_(i,Y−1) − X_(i,Y−2). Deltas encode trend: positive ΔFBG = rising glucose; negative ΔeGFR = declining renal function.</w:t>
      </w:r>
    </w:p>
    <w:p>
      <w:pPr>
        <w:pStyle w:val="BlockText"/>
      </w:pPr>
      <w:r>
        <w:rPr>
          <w:rFonts w:hint="eastAsia"/>
        </w:rPr>
        <w:t xml:space="preserve">共</w:t>
      </w:r>
      <w:r>
        <w:t xml:space="preserve"> 26 </w:t>
      </w:r>
      <w:r>
        <w:rPr>
          <w:rFonts w:hint="eastAsia"/>
        </w:rPr>
        <w:t xml:space="preserve">個特徵（表</w:t>
      </w:r>
      <w:r>
        <w:t xml:space="preserve"> </w:t>
      </w:r>
      <w:r>
        <w:rPr>
          <w:rFonts w:hint="eastAsia"/>
        </w:rPr>
        <w:t xml:space="preserve">1）：兩個人口學變數；Y−2</w:t>
      </w:r>
      <w:r>
        <w:t xml:space="preserve"> </w:t>
      </w:r>
      <w:r>
        <w:rPr>
          <w:rFonts w:hint="eastAsia"/>
        </w:rPr>
        <w:t xml:space="preserve">與</w:t>
      </w:r>
      <w:r>
        <w:t xml:space="preserve"> Y−1 </w:t>
      </w:r>
      <w:r>
        <w:rPr>
          <w:rFonts w:hint="eastAsia"/>
        </w:rPr>
        <w:t xml:space="preserve">各八個生物標記（FBG、TC、Cr、UA、eGFR、BMI、SBP、DBP）；以及八個變化量</w:t>
      </w:r>
      <w:r>
        <w:t xml:space="preserve"> Δ_i = X_(i,Y−1) − X_(i,Y−2)。Δ </w:t>
      </w:r>
      <w:r>
        <w:rPr>
          <w:rFonts w:hint="eastAsia"/>
        </w:rPr>
        <w:t xml:space="preserve">編碼趨勢：ΔFBG</w:t>
      </w:r>
      <w:r>
        <w:t xml:space="preserve"> </w:t>
      </w:r>
      <w:r>
        <w:rPr>
          <w:rFonts w:hint="eastAsia"/>
        </w:rPr>
        <w:t xml:space="preserve">為正表示血糖上升；ΔeGFR</w:t>
      </w:r>
      <w:r>
        <w:t xml:space="preserve"> </w:t>
      </w:r>
      <w:r>
        <w:rPr>
          <w:rFonts w:hint="eastAsia"/>
        </w:rPr>
        <w:t xml:space="preserve">為負表示腎功能下降。</w:t>
      </w:r>
    </w:p>
    <w:p>
      <w:pPr>
        <w:pStyle w:val="FirstParagraph"/>
      </w:pPr>
      <w:r>
        <w:rPr>
          <w:b/>
          <w:bCs/>
        </w:rPr>
        <w:t xml:space="preserve">Table 1. Feature set (26 features). </w:t>
      </w:r>
      <w:r>
        <w:rPr>
          <w:rFonts w:hint="eastAsia"/>
          <w:b/>
          <w:bCs/>
        </w:rPr>
        <w:t xml:space="preserve">表</w:t>
      </w:r>
      <w:r>
        <w:rPr>
          <w:b/>
          <w:bCs/>
        </w:rPr>
        <w:t xml:space="preserve"> 1　</w:t>
      </w:r>
      <w:r>
        <w:rPr>
          <w:rFonts w:hint="eastAsia"/>
          <w:b/>
          <w:bCs/>
        </w:rPr>
        <w:t xml:space="preserve">特徵集（26</w:t>
      </w:r>
      <w:r>
        <w:rPr>
          <w:b/>
          <w:bCs/>
        </w:rPr>
        <w:t xml:space="preserve"> </w:t>
      </w:r>
      <w:r>
        <w:rPr>
          <w:rFonts w:hint="eastAsia"/>
          <w:b/>
          <w:bCs/>
        </w:rPr>
        <w:t xml:space="preserve">個特徵）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 </w:t>
            </w:r>
            <w:r>
              <w:rPr>
                <w:rFonts w:hint="eastAsia"/>
              </w:rPr>
              <w:t xml:space="preserve">類別</w:t>
            </w:r>
          </w:p>
        </w:tc>
        <w:tc>
          <w:tcPr/>
          <w:p>
            <w:pPr>
              <w:pStyle w:val="Compact"/>
            </w:pPr>
            <w:r>
              <w:t xml:space="preserve">Features </w:t>
            </w:r>
            <w:r>
              <w:rPr>
                <w:rFonts w:hint="eastAsia"/>
              </w:rPr>
              <w:t xml:space="preserve">特徵</w:t>
            </w:r>
          </w:p>
        </w:tc>
        <w:tc>
          <w:tcPr/>
          <w:p>
            <w:pPr>
              <w:pStyle w:val="Compact"/>
            </w:pPr>
            <w:r>
              <w:t xml:space="preserve">n</w:t>
            </w:r>
          </w:p>
        </w:tc>
      </w:tr>
      <w:tr>
        <w:tc>
          <w:tcPr/>
          <w:p>
            <w:pPr>
              <w:pStyle w:val="Compact"/>
            </w:pPr>
            <w:r>
              <w:t xml:space="preserve">Demographics </w:t>
            </w:r>
            <w:r>
              <w:rPr>
                <w:rFonts w:hint="eastAsia"/>
              </w:rPr>
              <w:t xml:space="preserve">人口學</w:t>
            </w:r>
          </w:p>
        </w:tc>
        <w:tc>
          <w:tcPr/>
          <w:p>
            <w:pPr>
              <w:pStyle w:val="Compact"/>
            </w:pPr>
            <w:r>
              <w:t xml:space="preserve">Sex, Age</w:t>
            </w:r>
          </w:p>
        </w:tc>
        <w:tc>
          <w:tcPr/>
          <w:p>
            <w:pPr>
              <w:pStyle w:val="Compact"/>
            </w:pPr>
            <w:r>
              <w:t xml:space="preserve">2</w:t>
            </w:r>
          </w:p>
        </w:tc>
      </w:tr>
      <w:tr>
        <w:tc>
          <w:tcPr/>
          <w:p>
            <w:pPr>
              <w:pStyle w:val="Compact"/>
            </w:pPr>
            <w:r>
              <w:t xml:space="preserve">Y−2 biomarkers Y−2 </w:t>
            </w:r>
            <w:r>
              <w:rPr>
                <w:rFonts w:hint="eastAsia"/>
              </w:rPr>
              <w:t xml:space="preserve">生物標記</w:t>
            </w:r>
          </w:p>
        </w:tc>
        <w:tc>
          <w:tcPr/>
          <w:p>
            <w:pPr>
              <w:pStyle w:val="Compact"/>
            </w:pPr>
            <w:r>
              <w:t xml:space="preserve">FBG, TC, Cr, UA, eGFR, BMI, SBP, DBP</w:t>
            </w:r>
          </w:p>
        </w:tc>
        <w:tc>
          <w:tcPr/>
          <w:p>
            <w:pPr>
              <w:pStyle w:val="Compact"/>
            </w:pPr>
            <w:r>
              <w:t xml:space="preserve">8</w:t>
            </w:r>
          </w:p>
        </w:tc>
      </w:tr>
      <w:tr>
        <w:tc>
          <w:tcPr/>
          <w:p>
            <w:pPr>
              <w:pStyle w:val="Compact"/>
            </w:pPr>
            <w:r>
              <w:t xml:space="preserve">Y−1 biomarkers Y−1 </w:t>
            </w:r>
            <w:r>
              <w:rPr>
                <w:rFonts w:hint="eastAsia"/>
              </w:rPr>
              <w:t xml:space="preserve">生物標記</w:t>
            </w:r>
          </w:p>
        </w:tc>
        <w:tc>
          <w:tcPr/>
          <w:p>
            <w:pPr>
              <w:pStyle w:val="Compact"/>
            </w:pPr>
            <w:r>
              <w:t xml:space="preserve">FBG, TC, Cr, UA, eGFR, BMI, SBP, DBP</w:t>
            </w:r>
          </w:p>
        </w:tc>
        <w:tc>
          <w:tcPr/>
          <w:p>
            <w:pPr>
              <w:pStyle w:val="Compact"/>
            </w:pPr>
            <w:r>
              <w:t xml:space="preserve">8</w:t>
            </w:r>
          </w:p>
        </w:tc>
      </w:tr>
      <w:tr>
        <w:tc>
          <w:tcPr/>
          <w:p>
            <w:pPr>
              <w:pStyle w:val="Compact"/>
            </w:pPr>
            <w:r>
              <w:t xml:space="preserve">Delta </w:t>
            </w:r>
            <w:r>
              <w:rPr>
                <w:rFonts w:hint="eastAsia"/>
              </w:rPr>
              <w:t xml:space="preserve">變化量</w:t>
            </w:r>
            <w:r>
              <w:t xml:space="preserve"> (Y−1 − Y−2)</w:t>
            </w:r>
          </w:p>
        </w:tc>
        <w:tc>
          <w:tcPr/>
          <w:p>
            <w:pPr>
              <w:pStyle w:val="Compact"/>
            </w:pPr>
            <w:r>
              <w:t xml:space="preserve">ΔFBG, ΔTC, ΔCr, ΔUA, ΔeGFR, ΔBMI, ΔSBP, ΔDBP</w:t>
            </w:r>
          </w:p>
        </w:tc>
        <w:tc>
          <w:tcPr/>
          <w:p>
            <w:pPr>
              <w:pStyle w:val="Compact"/>
            </w:pPr>
            <w:r>
              <w:t xml:space="preserve">8</w:t>
            </w:r>
          </w:p>
        </w:tc>
      </w:tr>
    </w:tbl>
    <w:bookmarkEnd w:id="27"/>
    <w:bookmarkStart w:id="29" w:name="X6b18ad0cd252aeba2a649061889c6aba152920f"/>
    <w:p>
      <w:pPr>
        <w:pStyle w:val="Heading3"/>
      </w:pPr>
      <w:r>
        <w:t xml:space="preserve">2.4 Class imbalance</w:t>
      </w:r>
    </w:p>
    <w:p>
      <w:pPr>
        <w:pStyle w:val="Heading3"/>
      </w:pPr>
      <w:bookmarkStart w:id="28" w:name="X8ab1464f726af7c42546f575babc97911455116"/>
      <w:r>
        <w:t xml:space="preserve">2.4 </w:t>
      </w:r>
      <w:r>
        <w:rPr>
          <w:rFonts w:hint="eastAsia"/>
        </w:rPr>
        <w:t xml:space="preserve">類別不平衡</w:t>
      </w:r>
      <w:bookmarkEnd w:id="28"/>
    </w:p>
    <w:p>
      <w:pPr>
        <w:pStyle w:val="FirstParagraph"/>
      </w:pPr>
      <w:r>
        <w:t xml:space="preserve">Positive rates differed markedly: hypertension 16.68% (1,010/6,056), hyperglycemia 5.53% (335), dyslipidemia 5.96% (361). We used cost-sensitive learning via class weights, w_k = n / (K·n_k) [33], and benchmarked SMOTE [34], ADASYN, and random under-sampling.</w:t>
      </w:r>
    </w:p>
    <w:p>
      <w:pPr>
        <w:pStyle w:val="BlockText"/>
      </w:pPr>
      <w:r>
        <w:rPr>
          <w:rFonts w:hint="eastAsia"/>
        </w:rPr>
        <w:t xml:space="preserve">陽性率差異明顯：高血壓</w:t>
      </w:r>
      <w:r>
        <w:t xml:space="preserve"> </w:t>
      </w:r>
      <w:r>
        <w:rPr>
          <w:rFonts w:hint="eastAsia"/>
        </w:rPr>
        <w:t xml:space="preserve">16.68%（1,010/6,056）、高血糖</w:t>
      </w:r>
      <w:r>
        <w:t xml:space="preserve"> </w:t>
      </w:r>
      <w:r>
        <w:rPr>
          <w:rFonts w:hint="eastAsia"/>
        </w:rPr>
        <w:t xml:space="preserve">5.53%（335）、高血脂</w:t>
      </w:r>
      <w:r>
        <w:t xml:space="preserve"> </w:t>
      </w:r>
      <w:r>
        <w:rPr>
          <w:rFonts w:hint="eastAsia"/>
        </w:rPr>
        <w:t xml:space="preserve">5.96%（361）。採成本敏感學習，以類別權重</w:t>
      </w:r>
      <w:r>
        <w:t xml:space="preserve"> w_k = n / (K·n_k) </w:t>
      </w:r>
      <w:r>
        <w:rPr>
          <w:rFonts w:hint="eastAsia"/>
        </w:rPr>
        <w:t xml:space="preserve">處理</w:t>
      </w:r>
      <w:r>
        <w:t xml:space="preserve"> </w:t>
      </w:r>
      <w:r>
        <w:rPr>
          <w:rFonts w:hint="eastAsia"/>
        </w:rPr>
        <w:t xml:space="preserve">[33]，並與</w:t>
      </w:r>
      <w:r>
        <w:t xml:space="preserve"> SMOTE </w:t>
      </w:r>
      <w:r>
        <w:rPr>
          <w:rFonts w:hint="eastAsia"/>
        </w:rPr>
        <w:t xml:space="preserve">[34]、ADASYN、隨機欠採樣比較。</w:t>
      </w:r>
    </w:p>
    <w:bookmarkEnd w:id="29"/>
    <w:bookmarkStart w:id="31" w:name="X8bba5aa4cf2043899577940c97b5ac614489e36"/>
    <w:p>
      <w:pPr>
        <w:pStyle w:val="Heading3"/>
      </w:pPr>
      <w:r>
        <w:t xml:space="preserve">2.5 Models and validation</w:t>
      </w:r>
    </w:p>
    <w:p>
      <w:pPr>
        <w:pStyle w:val="Heading3"/>
      </w:pPr>
      <w:bookmarkStart w:id="30" w:name="X7fcb62a860168ae6951b0a5655d84d3a4083d56"/>
      <w:r>
        <w:t xml:space="preserve">2.5 </w:t>
      </w:r>
      <w:r>
        <w:rPr>
          <w:rFonts w:hint="eastAsia"/>
        </w:rPr>
        <w:t xml:space="preserve">模型與驗證</w:t>
      </w:r>
      <w:bookmarkEnd w:id="30"/>
    </w:p>
    <w:p>
      <w:pPr>
        <w:pStyle w:val="FirstParagraph"/>
      </w:pPr>
      <w:r>
        <w:t xml:space="preserve">Ten classifiers span statistical (LR, NB, LDA [25]), instance-based (KNN), tree-based (DT, RF [26], XGBoost [27], LightGBM [28]), kernel (SVM [29]), and neural (MLP [30]) families. Symbolic regression used PySR [31] (operators +,−,×,÷,exp,log,abs,square; maxsize 35; 200 iterations). Interpretability used SHAP [32]. All experiments used</w:t>
      </w:r>
      <w:r>
        <w:t xml:space="preserve"> </w:t>
      </w:r>
      <w:r>
        <w:rPr>
          <w:b/>
          <w:bCs/>
        </w:rPr>
        <w:t xml:space="preserve">stratified group 5-fold cross-validation</w:t>
      </w:r>
      <w:r>
        <w:t xml:space="preserve">: stratification preserves class ratio; grouping on patient identity prevents leakage from the sliding window. The primary metric was AUC-ROC (robust to imbalance at prevalences &gt;5%, above the regime where PR-AUC is preferred [35]); sensitivity, specificity, and F1 were also reported, with sensitivity emphasized for screening.</w:t>
      </w:r>
    </w:p>
    <w:p>
      <w:pPr>
        <w:pStyle w:val="BlockText"/>
      </w:pPr>
      <w:r>
        <w:rPr>
          <w:rFonts w:hint="eastAsia"/>
        </w:rPr>
        <w:t xml:space="preserve">十種分類器涵蓋統計（LR、NB、LDA</w:t>
      </w:r>
      <w:r>
        <w:t xml:space="preserve"> </w:t>
      </w:r>
      <w:r>
        <w:rPr>
          <w:rFonts w:hint="eastAsia"/>
        </w:rPr>
        <w:t xml:space="preserve">[25]）、實例式（KNN）、樹模型（DT、RF</w:t>
      </w:r>
      <w:r>
        <w:t xml:space="preserve"> [26]、XGBoost [27]、LightGBM </w:t>
      </w:r>
      <w:r>
        <w:rPr>
          <w:rFonts w:hint="eastAsia"/>
        </w:rPr>
        <w:t xml:space="preserve">[28]）、核方法（SVM</w:t>
      </w:r>
      <w:r>
        <w:t xml:space="preserve"> </w:t>
      </w:r>
      <w:r>
        <w:rPr>
          <w:rFonts w:hint="eastAsia"/>
        </w:rPr>
        <w:t xml:space="preserve">[29]）與神經網路（MLP</w:t>
      </w:r>
      <w:r>
        <w:t xml:space="preserve"> </w:t>
      </w:r>
      <w:r>
        <w:rPr>
          <w:rFonts w:hint="eastAsia"/>
        </w:rPr>
        <w:t xml:space="preserve">[30]）。符號回歸使用</w:t>
      </w:r>
      <w:r>
        <w:t xml:space="preserve"> PySR </w:t>
      </w:r>
      <w:r>
        <w:rPr>
          <w:rFonts w:hint="eastAsia"/>
        </w:rPr>
        <w:t xml:space="preserve">[31]（運算子</w:t>
      </w:r>
      <w:r>
        <w:t xml:space="preserve"> </w:t>
      </w:r>
      <w:r>
        <w:rPr>
          <w:rFonts w:hint="eastAsia"/>
        </w:rPr>
        <w:t xml:space="preserve">+,−,×,÷,exp,log,abs,square；maxsize</w:t>
      </w:r>
      <w:r>
        <w:t xml:space="preserve"> </w:t>
      </w:r>
      <w:r>
        <w:rPr>
          <w:rFonts w:hint="eastAsia"/>
        </w:rPr>
        <w:t xml:space="preserve">35；200</w:t>
      </w:r>
      <w:r>
        <w:t xml:space="preserve"> </w:t>
      </w:r>
      <w:r>
        <w:rPr>
          <w:rFonts w:hint="eastAsia"/>
        </w:rPr>
        <w:t xml:space="preserve">次迭代）。可解釋性使用</w:t>
      </w:r>
      <w:r>
        <w:t xml:space="preserve"> SHAP </w:t>
      </w:r>
      <w:r>
        <w:rPr>
          <w:rFonts w:hint="eastAsia"/>
        </w:rPr>
        <w:t xml:space="preserve">[32]。所有實驗採</w:t>
      </w:r>
      <w:r>
        <w:rPr>
          <w:rFonts w:hint="eastAsia"/>
          <w:b/>
          <w:bCs/>
        </w:rPr>
        <w:t xml:space="preserve">分層分組</w:t>
      </w:r>
      <w:r>
        <w:rPr>
          <w:b/>
          <w:bCs/>
        </w:rPr>
        <w:t xml:space="preserve"> 5 </w:t>
      </w:r>
      <w:r>
        <w:rPr>
          <w:rFonts w:hint="eastAsia"/>
          <w:b/>
          <w:bCs/>
        </w:rPr>
        <w:t xml:space="preserve">折交叉驗證</w:t>
      </w:r>
      <w:r>
        <w:rPr>
          <w:rFonts w:hint="eastAsia"/>
        </w:rPr>
        <w:t xml:space="preserve">：分層維持類別比例，依病患身分分組以避免滑動窗口造成的洩漏。主要指標為</w:t>
      </w:r>
      <w:r>
        <w:t xml:space="preserve"> </w:t>
      </w:r>
      <w:r>
        <w:rPr>
          <w:rFonts w:hint="eastAsia"/>
        </w:rPr>
        <w:t xml:space="preserve">AUC-ROC（在盛行率</w:t>
      </w:r>
      <w:r>
        <w:t xml:space="preserve"> &gt;5% </w:t>
      </w:r>
      <w:r>
        <w:rPr>
          <w:rFonts w:hint="eastAsia"/>
        </w:rPr>
        <w:t xml:space="preserve">時對不平衡穩健，高於偏好</w:t>
      </w:r>
      <w:r>
        <w:t xml:space="preserve"> PR-AUC </w:t>
      </w:r>
      <w:r>
        <w:rPr>
          <w:rFonts w:hint="eastAsia"/>
        </w:rPr>
        <w:t xml:space="preserve">的極端區間</w:t>
      </w:r>
      <w:r>
        <w:t xml:space="preserve"> </w:t>
      </w:r>
      <w:r>
        <w:rPr>
          <w:rFonts w:hint="eastAsia"/>
        </w:rPr>
        <w:t xml:space="preserve">[35]）；並報告敏感度、特異度與</w:t>
      </w:r>
      <w:r>
        <w:t xml:space="preserve"> </w:t>
      </w:r>
      <w:r>
        <w:rPr>
          <w:rFonts w:hint="eastAsia"/>
        </w:rPr>
        <w:t xml:space="preserve">F1，篩檢情境下特別重視敏感度。</w:t>
      </w:r>
    </w:p>
    <w:bookmarkEnd w:id="31"/>
    <w:bookmarkStart w:id="33" w:name="X6a6c8e2065ca021d74ced1f7023a7097d954da0"/>
    <w:p>
      <w:pPr>
        <w:pStyle w:val="Heading3"/>
      </w:pPr>
      <w:r>
        <w:t xml:space="preserve">2.6 Experiments</w:t>
      </w:r>
    </w:p>
    <w:p>
      <w:pPr>
        <w:pStyle w:val="Heading3"/>
      </w:pPr>
      <w:bookmarkStart w:id="32" w:name="X5238d574a0619ba1f6826a9de41910a17a81054"/>
      <w:r>
        <w:t xml:space="preserve">2.6 </w:t>
      </w:r>
      <w:r>
        <w:rPr>
          <w:rFonts w:hint="eastAsia"/>
        </w:rPr>
        <w:t xml:space="preserve">實驗</w:t>
      </w:r>
      <w:bookmarkEnd w:id="32"/>
    </w:p>
    <w:p>
      <w:pPr>
        <w:pStyle w:val="FirstParagraph"/>
      </w:pPr>
      <w:r>
        <w:t xml:space="preserve">Ten experiments: (1) model comparison; (2) SHAP importance; (3) delta ablation; (4) feature-count ablation; (5) class-imbalance comparison; (6) data-filtering comparison; (7) checkup-frequency effect; (8) per-time-point power; (9) multi-task vs single-task; (10) symbolic regression with stability checking. All ran on consumer hardware (Intel Core i7-11700, 32 GB RAM, RTX 3050; Python 3.10; scikit-learn, XGBoost, LightGBM, PySR, SHAP); full 5-fold runs completed within minutes per model.</w:t>
      </w:r>
    </w:p>
    <w:p>
      <w:pPr>
        <w:pStyle w:val="BlockText"/>
      </w:pPr>
      <w:r>
        <w:rPr>
          <w:rFonts w:hint="eastAsia"/>
        </w:rPr>
        <w:t xml:space="preserve">十項實驗：(1)</w:t>
      </w:r>
      <w:r>
        <w:t xml:space="preserve"> </w:t>
      </w:r>
      <w:r>
        <w:rPr>
          <w:rFonts w:hint="eastAsia"/>
        </w:rPr>
        <w:t xml:space="preserve">模型比較；(2)</w:t>
      </w:r>
      <w:r>
        <w:t xml:space="preserve"> SHAP </w:t>
      </w:r>
      <w:r>
        <w:rPr>
          <w:rFonts w:hint="eastAsia"/>
        </w:rPr>
        <w:t xml:space="preserve">重要性；(3)</w:t>
      </w:r>
      <w:r>
        <w:t xml:space="preserve"> Δ </w:t>
      </w:r>
      <w:r>
        <w:rPr>
          <w:rFonts w:hint="eastAsia"/>
        </w:rPr>
        <w:t xml:space="preserve">消融；(4)</w:t>
      </w:r>
      <w:r>
        <w:t xml:space="preserve"> </w:t>
      </w:r>
      <w:r>
        <w:rPr>
          <w:rFonts w:hint="eastAsia"/>
        </w:rPr>
        <w:t xml:space="preserve">特徵數量消融；(5)</w:t>
      </w:r>
      <w:r>
        <w:t xml:space="preserve"> </w:t>
      </w:r>
      <w:r>
        <w:rPr>
          <w:rFonts w:hint="eastAsia"/>
        </w:rPr>
        <w:t xml:space="preserve">類別不平衡比較；(6)</w:t>
      </w:r>
      <w:r>
        <w:t xml:space="preserve"> </w:t>
      </w:r>
      <w:r>
        <w:rPr>
          <w:rFonts w:hint="eastAsia"/>
        </w:rPr>
        <w:t xml:space="preserve">資料篩選比較；(7)</w:t>
      </w:r>
      <w:r>
        <w:t xml:space="preserve"> </w:t>
      </w:r>
      <w:r>
        <w:rPr>
          <w:rFonts w:hint="eastAsia"/>
        </w:rPr>
        <w:t xml:space="preserve">健檢次數效應；(8)</w:t>
      </w:r>
      <w:r>
        <w:t xml:space="preserve"> </w:t>
      </w:r>
      <w:r>
        <w:rPr>
          <w:rFonts w:hint="eastAsia"/>
        </w:rPr>
        <w:t xml:space="preserve">各時間點預測力；(9)</w:t>
      </w:r>
      <w:r>
        <w:t xml:space="preserve"> </w:t>
      </w:r>
      <w:r>
        <w:rPr>
          <w:rFonts w:hint="eastAsia"/>
        </w:rPr>
        <w:t xml:space="preserve">多任務</w:t>
      </w:r>
      <w:r>
        <w:t xml:space="preserve"> vs </w:t>
      </w:r>
      <w:r>
        <w:rPr>
          <w:rFonts w:hint="eastAsia"/>
        </w:rPr>
        <w:t xml:space="preserve">單任務；(10)</w:t>
      </w:r>
      <w:r>
        <w:t xml:space="preserve"> </w:t>
      </w:r>
      <w:r>
        <w:rPr>
          <w:rFonts w:hint="eastAsia"/>
        </w:rPr>
        <w:t xml:space="preserve">符號回歸含穩定性檢驗。全部於消費級硬體執行（Intel</w:t>
      </w:r>
      <w:r>
        <w:t xml:space="preserve"> Core i7-11700、32 GB RAM、RTX </w:t>
      </w:r>
      <w:r>
        <w:rPr>
          <w:rFonts w:hint="eastAsia"/>
        </w:rPr>
        <w:t xml:space="preserve">3050；Python</w:t>
      </w:r>
      <w:r>
        <w:t xml:space="preserve"> </w:t>
      </w:r>
      <w:r>
        <w:rPr>
          <w:rFonts w:hint="eastAsia"/>
        </w:rPr>
        <w:t xml:space="preserve">3.10；scikit-learn、XGBoost、LightGBM、PySR、SHAP）；每個模型的完整</w:t>
      </w:r>
      <w:r>
        <w:t xml:space="preserve"> 5 </w:t>
      </w:r>
      <w:r>
        <w:rPr>
          <w:rFonts w:hint="eastAsia"/>
        </w:rPr>
        <w:t xml:space="preserve">折皆於數分鐘內完成。</w:t>
      </w:r>
    </w:p>
    <w:p>
      <w:r>
        <w:pict>
          <v:rect style="width:0;height:1.5pt" o:hralign="center" o:hrstd="t" o:hr="t"/>
        </w:pict>
      </w:r>
    </w:p>
    <w:bookmarkEnd w:id="33"/>
    <w:bookmarkEnd w:id="34"/>
    <w:bookmarkStart w:id="52" w:name="Xc0c84230492598220627d6d71355f36de6acb67"/>
    <w:p>
      <w:pPr>
        <w:pStyle w:val="Heading2"/>
      </w:pPr>
      <w:r>
        <w:t xml:space="preserve">3. Results</w:t>
      </w:r>
    </w:p>
    <w:p>
      <w:pPr>
        <w:pStyle w:val="Heading2"/>
      </w:pPr>
      <w:bookmarkStart w:id="35" w:name="Xee7e82384ff0899d584039af082fdce52e46739"/>
      <w:r>
        <w:t xml:space="preserve">3. </w:t>
      </w:r>
      <w:r>
        <w:rPr>
          <w:rFonts w:hint="eastAsia"/>
        </w:rPr>
        <w:t xml:space="preserve">結果</w:t>
      </w:r>
      <w:bookmarkEnd w:id="35"/>
    </w:p>
    <w:bookmarkStart w:id="37" w:name="Xce4e034887dc59c9011d09e5631116df0f0f0b4"/>
    <w:p>
      <w:pPr>
        <w:pStyle w:val="Heading3"/>
      </w:pPr>
      <w:r>
        <w:t xml:space="preserve">3.1 Model comparison</w:t>
      </w:r>
    </w:p>
    <w:p>
      <w:pPr>
        <w:pStyle w:val="Heading3"/>
      </w:pPr>
      <w:bookmarkStart w:id="36" w:name="X65d023a79ae7c43d5b8dbed8a04cf5e1e0893f8"/>
      <w:r>
        <w:t xml:space="preserve">3.1 </w:t>
      </w:r>
      <w:r>
        <w:rPr>
          <w:rFonts w:hint="eastAsia"/>
        </w:rPr>
        <w:t xml:space="preserve">模型比較</w:t>
      </w:r>
      <w:bookmarkEnd w:id="36"/>
    </w:p>
    <w:p>
      <w:pPr>
        <w:pStyle w:val="FirstParagraph"/>
      </w:pPr>
      <w:r>
        <w:t xml:space="preserve">LR achieved the highest AUC for hyperglycemia (0.938) and dyslipidemia (tied, 0.867); RF was best for hypertension (0.743). Hyperglycemia was easiest (all models except KNN &gt;0.83), hypertension hardest (0.630–0.743), consistent with blood pressure's larger short-term variability (Table 2).</w:t>
      </w:r>
    </w:p>
    <w:p>
      <w:pPr>
        <w:pStyle w:val="BlockText"/>
      </w:pPr>
      <w:r>
        <w:t xml:space="preserve">LR </w:t>
      </w:r>
      <w:r>
        <w:rPr>
          <w:rFonts w:hint="eastAsia"/>
        </w:rPr>
        <w:t xml:space="preserve">在高血糖（0.938）與高血脂（並列</w:t>
      </w:r>
      <w:r>
        <w:t xml:space="preserve"> </w:t>
      </w:r>
      <w:r>
        <w:rPr>
          <w:rFonts w:hint="eastAsia"/>
        </w:rPr>
        <w:t xml:space="preserve">0.867）達最高</w:t>
      </w:r>
      <w:r>
        <w:t xml:space="preserve"> </w:t>
      </w:r>
      <w:r>
        <w:rPr>
          <w:rFonts w:hint="eastAsia"/>
        </w:rPr>
        <w:t xml:space="preserve">AUC；高血壓以</w:t>
      </w:r>
      <w:r>
        <w:t xml:space="preserve"> RF </w:t>
      </w:r>
      <w:r>
        <w:rPr>
          <w:rFonts w:hint="eastAsia"/>
        </w:rPr>
        <w:t xml:space="preserve">最佳（0.743）。高血糖最易預測（除</w:t>
      </w:r>
      <w:r>
        <w:t xml:space="preserve"> KNN </w:t>
      </w:r>
      <w:r>
        <w:rPr>
          <w:rFonts w:hint="eastAsia"/>
        </w:rPr>
        <w:t xml:space="preserve">外所有模型</w:t>
      </w:r>
      <w:r>
        <w:t xml:space="preserve"> </w:t>
      </w:r>
      <w:r>
        <w:rPr>
          <w:rFonts w:hint="eastAsia"/>
        </w:rPr>
        <w:t xml:space="preserve">&gt;0.83），高血壓最難（0.630–0.743），與血壓短期波動較大一致（表</w:t>
      </w:r>
      <w:r>
        <w:t xml:space="preserve"> </w:t>
      </w:r>
      <w:r>
        <w:rPr>
          <w:rFonts w:hint="eastAsia"/>
        </w:rPr>
        <w:t xml:space="preserve">2）。</w:t>
      </w:r>
    </w:p>
    <w:p>
      <w:pPr>
        <w:pStyle w:val="FirstParagraph"/>
      </w:pPr>
      <w:r>
        <w:rPr>
          <w:b/>
          <w:bCs/>
        </w:rPr>
        <w:t xml:space="preserve">Table 2. Test AUC by model (mean ± SD, 5-fold CV). </w:t>
      </w:r>
      <w:r>
        <w:rPr>
          <w:rFonts w:hint="eastAsia"/>
          <w:b/>
          <w:bCs/>
        </w:rPr>
        <w:t xml:space="preserve">表</w:t>
      </w:r>
      <w:r>
        <w:rPr>
          <w:b/>
          <w:bCs/>
        </w:rPr>
        <w:t xml:space="preserve"> 2　</w:t>
      </w:r>
      <w:r>
        <w:rPr>
          <w:rFonts w:hint="eastAsia"/>
          <w:b/>
          <w:bCs/>
        </w:rPr>
        <w:t xml:space="preserve">各模型測試集</w:t>
      </w:r>
      <w:r>
        <w:rPr>
          <w:b/>
          <w:bCs/>
        </w:rPr>
        <w:t xml:space="preserve"> </w:t>
      </w:r>
      <w:r>
        <w:rPr>
          <w:rFonts w:hint="eastAsia"/>
          <w:b/>
          <w:bCs/>
        </w:rPr>
        <w:t xml:space="preserve">AUC（平均</w:t>
      </w:r>
      <w:r>
        <w:rPr>
          <w:b/>
          <w:bCs/>
        </w:rPr>
        <w:t xml:space="preserve"> ± </w:t>
      </w:r>
      <w:r>
        <w:rPr>
          <w:rFonts w:hint="eastAsia"/>
          <w:b/>
          <w:bCs/>
        </w:rPr>
        <w:t xml:space="preserve">標準差）</w:t>
      </w:r>
      <w:r>
        <w:t xml:space="preserve"> </w:t>
      </w:r>
      <w:r>
        <w:rPr>
          <w:i/>
          <w:iCs/>
        </w:rPr>
        <w:t xml:space="preserve">[Bootstrap 95% CI to be added </w:t>
      </w:r>
      <w:r>
        <w:rPr>
          <w:rFonts w:hint="eastAsia"/>
          <w:i/>
          <w:iCs/>
        </w:rPr>
        <w:t xml:space="preserve">投稿前補]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Hypertension </w:t>
            </w:r>
            <w:r>
              <w:rPr>
                <w:rFonts w:hint="eastAsia"/>
              </w:rPr>
              <w:t xml:space="preserve">高血壓</w:t>
            </w:r>
          </w:p>
        </w:tc>
        <w:tc>
          <w:tcPr/>
          <w:p>
            <w:pPr>
              <w:pStyle w:val="Compact"/>
            </w:pPr>
            <w:r>
              <w:t xml:space="preserve">Hyperglycemia </w:t>
            </w:r>
            <w:r>
              <w:rPr>
                <w:rFonts w:hint="eastAsia"/>
              </w:rPr>
              <w:t xml:space="preserve">高血糖</w:t>
            </w:r>
          </w:p>
        </w:tc>
        <w:tc>
          <w:tcPr/>
          <w:p>
            <w:pPr>
              <w:pStyle w:val="Compact"/>
            </w:pPr>
            <w:r>
              <w:t xml:space="preserve">Dyslipidemia </w:t>
            </w:r>
            <w:r>
              <w:rPr>
                <w:rFonts w:hint="eastAsia"/>
              </w:rPr>
              <w:t xml:space="preserve">高血脂</w:t>
            </w:r>
          </w:p>
        </w:tc>
      </w:tr>
      <w:tr>
        <w:tc>
          <w:tcPr/>
          <w:p>
            <w:pPr>
              <w:pStyle w:val="Compact"/>
            </w:pPr>
            <w:r>
              <w:t xml:space="preserve">LR</w:t>
            </w:r>
          </w:p>
        </w:tc>
        <w:tc>
          <w:tcPr/>
          <w:p>
            <w:pPr>
              <w:pStyle w:val="Compact"/>
            </w:pPr>
            <w:r>
              <w:t xml:space="preserve">0.721 ± 0.017</w:t>
            </w:r>
          </w:p>
        </w:tc>
        <w:tc>
          <w:tcPr/>
          <w:p>
            <w:pPr>
              <w:pStyle w:val="Compact"/>
            </w:pPr>
            <w:r>
              <w:rPr>
                <w:b/>
                <w:bCs/>
              </w:rPr>
              <w:t xml:space="preserve">0.938 ± 0.010</w:t>
            </w:r>
          </w:p>
        </w:tc>
        <w:tc>
          <w:tcPr/>
          <w:p>
            <w:pPr>
              <w:pStyle w:val="Compact"/>
            </w:pPr>
            <w:r>
              <w:rPr>
                <w:b/>
                <w:bCs/>
              </w:rPr>
              <w:t xml:space="preserve">0.867 ± 0.012</w:t>
            </w:r>
          </w:p>
        </w:tc>
      </w:tr>
      <w:tr>
        <w:tc>
          <w:tcPr/>
          <w:p>
            <w:pPr>
              <w:pStyle w:val="Compact"/>
            </w:pPr>
            <w:r>
              <w:t xml:space="preserve">NB</w:t>
            </w:r>
          </w:p>
        </w:tc>
        <w:tc>
          <w:tcPr/>
          <w:p>
            <w:pPr>
              <w:pStyle w:val="Compact"/>
            </w:pPr>
            <w:r>
              <w:t xml:space="preserve">0.709 ± 0.022</w:t>
            </w:r>
          </w:p>
        </w:tc>
        <w:tc>
          <w:tcPr/>
          <w:p>
            <w:pPr>
              <w:pStyle w:val="Compact"/>
            </w:pPr>
            <w:r>
              <w:t xml:space="preserve">0.917 ± 0.010</w:t>
            </w:r>
          </w:p>
        </w:tc>
        <w:tc>
          <w:tcPr/>
          <w:p>
            <w:pPr>
              <w:pStyle w:val="Compact"/>
            </w:pPr>
            <w:r>
              <w:t xml:space="preserve">0.847 ± 0.015</w:t>
            </w:r>
          </w:p>
        </w:tc>
      </w:tr>
      <w:tr>
        <w:tc>
          <w:tcPr/>
          <w:p>
            <w:pPr>
              <w:pStyle w:val="Compact"/>
            </w:pPr>
            <w:r>
              <w:t xml:space="preserve">LDA</w:t>
            </w:r>
          </w:p>
        </w:tc>
        <w:tc>
          <w:tcPr/>
          <w:p>
            <w:pPr>
              <w:pStyle w:val="Compact"/>
            </w:pPr>
            <w:r>
              <w:t xml:space="preserve">0.720 ± 0.017</w:t>
            </w:r>
          </w:p>
        </w:tc>
        <w:tc>
          <w:tcPr/>
          <w:p>
            <w:pPr>
              <w:pStyle w:val="Compact"/>
            </w:pPr>
            <w:r>
              <w:t xml:space="preserve">0.936 ± 0.011</w:t>
            </w:r>
          </w:p>
        </w:tc>
        <w:tc>
          <w:tcPr/>
          <w:p>
            <w:pPr>
              <w:pStyle w:val="Compact"/>
            </w:pPr>
            <w:r>
              <w:t xml:space="preserve">0.867 ± 0.012</w:t>
            </w:r>
          </w:p>
        </w:tc>
      </w:tr>
      <w:tr>
        <w:tc>
          <w:tcPr/>
          <w:p>
            <w:pPr>
              <w:pStyle w:val="Compact"/>
            </w:pPr>
            <w:r>
              <w:t xml:space="preserve">KNN</w:t>
            </w:r>
          </w:p>
        </w:tc>
        <w:tc>
          <w:tcPr/>
          <w:p>
            <w:pPr>
              <w:pStyle w:val="Compact"/>
            </w:pPr>
            <w:r>
              <w:t xml:space="preserve">0.630 ± 0.018</w:t>
            </w:r>
          </w:p>
        </w:tc>
        <w:tc>
          <w:tcPr/>
          <w:p>
            <w:pPr>
              <w:pStyle w:val="Compact"/>
            </w:pPr>
            <w:r>
              <w:t xml:space="preserve">0.782 ± 0.020</w:t>
            </w:r>
          </w:p>
        </w:tc>
        <w:tc>
          <w:tcPr/>
          <w:p>
            <w:pPr>
              <w:pStyle w:val="Compact"/>
            </w:pPr>
            <w:r>
              <w:t xml:space="preserve">0.673 ± 0.013</w:t>
            </w:r>
          </w:p>
        </w:tc>
      </w:tr>
      <w:tr>
        <w:tc>
          <w:tcPr/>
          <w:p>
            <w:pPr>
              <w:pStyle w:val="Compact"/>
            </w:pPr>
            <w:r>
              <w:t xml:space="preserve">DT</w:t>
            </w:r>
          </w:p>
        </w:tc>
        <w:tc>
          <w:tcPr/>
          <w:p>
            <w:pPr>
              <w:pStyle w:val="Compact"/>
            </w:pPr>
            <w:r>
              <w:t xml:space="preserve">0.658 ± 0.012</w:t>
            </w:r>
          </w:p>
        </w:tc>
        <w:tc>
          <w:tcPr/>
          <w:p>
            <w:pPr>
              <w:pStyle w:val="Compact"/>
            </w:pPr>
            <w:r>
              <w:t xml:space="preserve">0.835 ± 0.014</w:t>
            </w:r>
          </w:p>
        </w:tc>
        <w:tc>
          <w:tcPr/>
          <w:p>
            <w:pPr>
              <w:pStyle w:val="Compact"/>
            </w:pPr>
            <w:r>
              <w:t xml:space="preserve">0.744 ± 0.037</w:t>
            </w:r>
          </w:p>
        </w:tc>
      </w:tr>
      <w:tr>
        <w:tc>
          <w:tcPr/>
          <w:p>
            <w:pPr>
              <w:pStyle w:val="Compact"/>
            </w:pPr>
            <w:r>
              <w:t xml:space="preserve">RF</w:t>
            </w:r>
          </w:p>
        </w:tc>
        <w:tc>
          <w:tcPr/>
          <w:p>
            <w:pPr>
              <w:pStyle w:val="Compact"/>
            </w:pPr>
            <w:r>
              <w:rPr>
                <w:b/>
                <w:bCs/>
              </w:rPr>
              <w:t xml:space="preserve">0.743 ± 0.013</w:t>
            </w:r>
          </w:p>
        </w:tc>
        <w:tc>
          <w:tcPr/>
          <w:p>
            <w:pPr>
              <w:pStyle w:val="Compact"/>
            </w:pPr>
            <w:r>
              <w:t xml:space="preserve">0.932 ± 0.008</w:t>
            </w:r>
          </w:p>
        </w:tc>
        <w:tc>
          <w:tcPr/>
          <w:p>
            <w:pPr>
              <w:pStyle w:val="Compact"/>
            </w:pPr>
            <w:r>
              <w:t xml:space="preserve">0.859 ± 0.014</w:t>
            </w:r>
          </w:p>
        </w:tc>
      </w:tr>
      <w:tr>
        <w:tc>
          <w:tcPr/>
          <w:p>
            <w:pPr>
              <w:pStyle w:val="Compact"/>
            </w:pPr>
            <w:r>
              <w:t xml:space="preserve">XGBoost</w:t>
            </w:r>
          </w:p>
        </w:tc>
        <w:tc>
          <w:tcPr/>
          <w:p>
            <w:pPr>
              <w:pStyle w:val="Compact"/>
            </w:pPr>
            <w:r>
              <w:t xml:space="preserve">0.738 ± 0.012</w:t>
            </w:r>
          </w:p>
        </w:tc>
        <w:tc>
          <w:tcPr/>
          <w:p>
            <w:pPr>
              <w:pStyle w:val="Compact"/>
            </w:pPr>
            <w:r>
              <w:t xml:space="preserve">0.930 ± 0.014</w:t>
            </w:r>
          </w:p>
        </w:tc>
        <w:tc>
          <w:tcPr/>
          <w:p>
            <w:pPr>
              <w:pStyle w:val="Compact"/>
            </w:pPr>
            <w:r>
              <w:t xml:space="preserve">0.857 ± 0.016</w:t>
            </w:r>
          </w:p>
        </w:tc>
      </w:tr>
      <w:tr>
        <w:tc>
          <w:tcPr/>
          <w:p>
            <w:pPr>
              <w:pStyle w:val="Compact"/>
            </w:pPr>
            <w:r>
              <w:t xml:space="preserve">LightGBM</w:t>
            </w:r>
          </w:p>
        </w:tc>
        <w:tc>
          <w:tcPr/>
          <w:p>
            <w:pPr>
              <w:pStyle w:val="Compact"/>
            </w:pPr>
            <w:r>
              <w:t xml:space="preserve">0.730 ± 0.011</w:t>
            </w:r>
          </w:p>
        </w:tc>
        <w:tc>
          <w:tcPr/>
          <w:p>
            <w:pPr>
              <w:pStyle w:val="Compact"/>
            </w:pPr>
            <w:r>
              <w:t xml:space="preserve">0.926 ± 0.015</w:t>
            </w:r>
          </w:p>
        </w:tc>
        <w:tc>
          <w:tcPr/>
          <w:p>
            <w:pPr>
              <w:pStyle w:val="Compact"/>
            </w:pPr>
            <w:r>
              <w:t xml:space="preserve">0.852 ± 0.011</w:t>
            </w:r>
          </w:p>
        </w:tc>
      </w:tr>
      <w:tr>
        <w:tc>
          <w:tcPr/>
          <w:p>
            <w:pPr>
              <w:pStyle w:val="Compact"/>
            </w:pPr>
            <w:r>
              <w:t xml:space="preserve">SVM</w:t>
            </w:r>
          </w:p>
        </w:tc>
        <w:tc>
          <w:tcPr/>
          <w:p>
            <w:pPr>
              <w:pStyle w:val="Compact"/>
            </w:pPr>
            <w:r>
              <w:t xml:space="preserve">0.726 ± 0.011</w:t>
            </w:r>
          </w:p>
        </w:tc>
        <w:tc>
          <w:tcPr/>
          <w:p>
            <w:pPr>
              <w:pStyle w:val="Compact"/>
            </w:pPr>
            <w:r>
              <w:t xml:space="preserve">0.919 ± 0.012</w:t>
            </w:r>
          </w:p>
        </w:tc>
        <w:tc>
          <w:tcPr/>
          <w:p>
            <w:pPr>
              <w:pStyle w:val="Compact"/>
            </w:pPr>
            <w:r>
              <w:t xml:space="preserve">0.845 ± 0.012</w:t>
            </w:r>
          </w:p>
        </w:tc>
      </w:tr>
      <w:tr>
        <w:tc>
          <w:tcPr/>
          <w:p>
            <w:pPr>
              <w:pStyle w:val="Compact"/>
            </w:pPr>
            <w:r>
              <w:t xml:space="preserve">MLP</w:t>
            </w:r>
          </w:p>
        </w:tc>
        <w:tc>
          <w:tcPr/>
          <w:p>
            <w:pPr>
              <w:pStyle w:val="Compact"/>
            </w:pPr>
            <w:r>
              <w:t xml:space="preserve">0.703 ± 0.033</w:t>
            </w:r>
          </w:p>
        </w:tc>
        <w:tc>
          <w:tcPr/>
          <w:p>
            <w:pPr>
              <w:pStyle w:val="Compact"/>
            </w:pPr>
            <w:r>
              <w:t xml:space="preserve">0.919 ± 0.021</w:t>
            </w:r>
          </w:p>
        </w:tc>
        <w:tc>
          <w:tcPr/>
          <w:p>
            <w:pPr>
              <w:pStyle w:val="Compact"/>
            </w:pPr>
            <w:r>
              <w:t xml:space="preserve">0.742 ± 0.136</w:t>
            </w:r>
          </w:p>
        </w:tc>
      </w:tr>
    </w:tbl>
    <w:p>
      <w:pPr>
        <w:pStyle w:val="BodyText"/>
      </w:pPr>
      <w:r>
        <w:t xml:space="preserve">With balanced class weights, LR kept a strong sensitivity/specificity balance (e.g., hyperglycemia 0.858/0.882), whereas LDA, MLP, and KNN behaved extremely conservatively despite competitive AUC—LDA reached dyslipidemia AUC 0.867 but sensitivity only 0.118 versus LR's 0.799 at the same AUC—illustrating why a single metric is insufficient for screening.</w:t>
      </w:r>
    </w:p>
    <w:p>
      <w:pPr>
        <w:pStyle w:val="BlockText"/>
      </w:pPr>
      <w:r>
        <w:rPr>
          <w:rFonts w:hint="eastAsia"/>
        </w:rPr>
        <w:t xml:space="preserve">採平衡類別權重時，LR</w:t>
      </w:r>
      <w:r>
        <w:t xml:space="preserve"> </w:t>
      </w:r>
      <w:r>
        <w:rPr>
          <w:rFonts w:hint="eastAsia"/>
        </w:rPr>
        <w:t xml:space="preserve">維持良好的敏感度/特異度平衡（如高血糖</w:t>
      </w:r>
      <w:r>
        <w:t xml:space="preserve"> </w:t>
      </w:r>
      <w:r>
        <w:rPr>
          <w:rFonts w:hint="eastAsia"/>
        </w:rPr>
        <w:t xml:space="preserve">0.858/0.882）；而</w:t>
      </w:r>
      <w:r>
        <w:t xml:space="preserve"> LDA、MLP、KNN </w:t>
      </w:r>
      <w:r>
        <w:rPr>
          <w:rFonts w:hint="eastAsia"/>
        </w:rPr>
        <w:t xml:space="preserve">雖</w:t>
      </w:r>
      <w:r>
        <w:t xml:space="preserve"> AUC </w:t>
      </w:r>
      <w:r>
        <w:rPr>
          <w:rFonts w:hint="eastAsia"/>
        </w:rPr>
        <w:t xml:space="preserve">不差卻極度保守——LDA</w:t>
      </w:r>
      <w:r>
        <w:t xml:space="preserve"> </w:t>
      </w:r>
      <w:r>
        <w:rPr>
          <w:rFonts w:hint="eastAsia"/>
        </w:rPr>
        <w:t xml:space="preserve">在高血脂達</w:t>
      </w:r>
      <w:r>
        <w:t xml:space="preserve"> AUC </w:t>
      </w:r>
      <w:r>
        <w:rPr>
          <w:rFonts w:hint="eastAsia"/>
        </w:rPr>
        <w:t xml:space="preserve">0.867，但敏感度僅</w:t>
      </w:r>
      <w:r>
        <w:t xml:space="preserve"> </w:t>
      </w:r>
      <w:r>
        <w:rPr>
          <w:rFonts w:hint="eastAsia"/>
        </w:rPr>
        <w:t xml:space="preserve">0.118，相同</w:t>
      </w:r>
      <w:r>
        <w:t xml:space="preserve"> AUC </w:t>
      </w:r>
      <w:r>
        <w:rPr>
          <w:rFonts w:hint="eastAsia"/>
        </w:rPr>
        <w:t xml:space="preserve">下</w:t>
      </w:r>
      <w:r>
        <w:t xml:space="preserve"> LR </w:t>
      </w:r>
      <w:r>
        <w:rPr>
          <w:rFonts w:hint="eastAsia"/>
        </w:rPr>
        <w:t xml:space="preserve">為</w:t>
      </w:r>
      <w:r>
        <w:t xml:space="preserve"> </w:t>
      </w:r>
      <w:r>
        <w:rPr>
          <w:rFonts w:hint="eastAsia"/>
        </w:rPr>
        <w:t xml:space="preserve">0.799——凸顯單一指標不足以評估篩檢用途。</w:t>
      </w:r>
    </w:p>
    <w:p>
      <w:pPr>
        <w:pStyle w:val="FirstParagraph"/>
      </w:pPr>
      <w:r>
        <w:t xml:space="preserve">Comparing train and test AUC (Table 3), statistical models showed near-zero overfitting (gap ≤0.010), whereas tree ensembles overfit heavily (RF train AUC 0.997 for hypertension, gap 0.254; LightGBM train AUC 1.000 for hyperglycemia). Tree models' apparent edge derives partly from greater fitting capacity rather than better generalization; LR's low-variance behavior is advantageous for deployment.</w:t>
      </w:r>
    </w:p>
    <w:p>
      <w:pPr>
        <w:pStyle w:val="BlockText"/>
      </w:pPr>
      <w:r>
        <w:rPr>
          <w:rFonts w:hint="eastAsia"/>
        </w:rPr>
        <w:t xml:space="preserve">比較訓練與測試</w:t>
      </w:r>
      <w:r>
        <w:t xml:space="preserve"> </w:t>
      </w:r>
      <w:r>
        <w:rPr>
          <w:rFonts w:hint="eastAsia"/>
        </w:rPr>
        <w:t xml:space="preserve">AUC（表</w:t>
      </w:r>
      <w:r>
        <w:t xml:space="preserve"> </w:t>
      </w:r>
      <w:r>
        <w:rPr>
          <w:rFonts w:hint="eastAsia"/>
        </w:rPr>
        <w:t xml:space="preserve">3），統計模型幾乎無過擬合（差距</w:t>
      </w:r>
      <w:r>
        <w:t xml:space="preserve"> </w:t>
      </w:r>
      <w:r>
        <w:rPr>
          <w:rFonts w:hint="eastAsia"/>
        </w:rPr>
        <w:t xml:space="preserve">≤0.010），樹集成則嚴重過擬合（RF</w:t>
      </w:r>
      <w:r>
        <w:t xml:space="preserve"> </w:t>
      </w:r>
      <w:r>
        <w:rPr>
          <w:rFonts w:hint="eastAsia"/>
        </w:rPr>
        <w:t xml:space="preserve">高血壓訓練</w:t>
      </w:r>
      <w:r>
        <w:t xml:space="preserve"> AUC </w:t>
      </w:r>
      <w:r>
        <w:rPr>
          <w:rFonts w:hint="eastAsia"/>
        </w:rPr>
        <w:t xml:space="preserve">0.997、差距</w:t>
      </w:r>
      <w:r>
        <w:t xml:space="preserve"> </w:t>
      </w:r>
      <w:r>
        <w:rPr>
          <w:rFonts w:hint="eastAsia"/>
        </w:rPr>
        <w:t xml:space="preserve">0.254；LightGBM</w:t>
      </w:r>
      <w:r>
        <w:t xml:space="preserve"> </w:t>
      </w:r>
      <w:r>
        <w:rPr>
          <w:rFonts w:hint="eastAsia"/>
        </w:rPr>
        <w:t xml:space="preserve">高血糖訓練</w:t>
      </w:r>
      <w:r>
        <w:t xml:space="preserve"> AUC </w:t>
      </w:r>
      <w:r>
        <w:rPr>
          <w:rFonts w:hint="eastAsia"/>
        </w:rPr>
        <w:t xml:space="preserve">1.000）。樹模型的表面優勢部分源於更強的擬合能力而非更佳泛化；LR</w:t>
      </w:r>
      <w:r>
        <w:t xml:space="preserve"> </w:t>
      </w:r>
      <w:r>
        <w:rPr>
          <w:rFonts w:hint="eastAsia"/>
        </w:rPr>
        <w:t xml:space="preserve">的低變異特性對部署有利。</w:t>
      </w:r>
    </w:p>
    <w:p>
      <w:pPr>
        <w:pStyle w:val="FirstParagraph"/>
      </w:pPr>
      <w:r>
        <w:rPr>
          <w:b/>
          <w:bCs/>
        </w:rPr>
        <w:t xml:space="preserve">Table 3. Train AUC and generalization gap (train − test). </w:t>
      </w:r>
      <w:r>
        <w:rPr>
          <w:rFonts w:hint="eastAsia"/>
          <w:b/>
          <w:bCs/>
        </w:rPr>
        <w:t xml:space="preserve">表</w:t>
      </w:r>
      <w:r>
        <w:rPr>
          <w:b/>
          <w:bCs/>
        </w:rPr>
        <w:t xml:space="preserve"> 3　</w:t>
      </w:r>
      <w:r>
        <w:rPr>
          <w:rFonts w:hint="eastAsia"/>
          <w:b/>
          <w:bCs/>
        </w:rPr>
        <w:t xml:space="preserve">訓練集</w:t>
      </w:r>
      <w:r>
        <w:rPr>
          <w:b/>
          <w:bCs/>
        </w:rPr>
        <w:t xml:space="preserve"> AUC </w:t>
      </w:r>
      <w:r>
        <w:rPr>
          <w:rFonts w:hint="eastAsia"/>
          <w:b/>
          <w:bCs/>
        </w:rPr>
        <w:t xml:space="preserve">與泛化差距（訓練</w:t>
      </w:r>
      <w:r>
        <w:rPr>
          <w:b/>
          <w:bCs/>
        </w:rPr>
        <w:t xml:space="preserve"> − </w:t>
      </w:r>
      <w:r>
        <w:rPr>
          <w:rFonts w:hint="eastAsia"/>
          <w:b/>
          <w:bCs/>
        </w:rPr>
        <w:t xml:space="preserve">測試）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HTN train / gap</w:t>
            </w:r>
          </w:p>
        </w:tc>
        <w:tc>
          <w:tcPr/>
          <w:p>
            <w:pPr>
              <w:pStyle w:val="Compact"/>
            </w:pPr>
            <w:r>
              <w:t xml:space="preserve">HG train / gap</w:t>
            </w:r>
          </w:p>
        </w:tc>
        <w:tc>
          <w:tcPr/>
          <w:p>
            <w:pPr>
              <w:pStyle w:val="Compact"/>
            </w:pPr>
            <w:r>
              <w:t xml:space="preserve">DL train / gap</w:t>
            </w:r>
          </w:p>
        </w:tc>
      </w:tr>
      <w:tr>
        <w:tc>
          <w:tcPr/>
          <w:p>
            <w:pPr>
              <w:pStyle w:val="Compact"/>
            </w:pPr>
            <w:r>
              <w:t xml:space="preserve">LR</w:t>
            </w:r>
          </w:p>
        </w:tc>
        <w:tc>
          <w:tcPr/>
          <w:p>
            <w:pPr>
              <w:pStyle w:val="Compact"/>
            </w:pPr>
            <w:r>
              <w:t xml:space="preserve">0.724 / 0.003</w:t>
            </w:r>
          </w:p>
        </w:tc>
        <w:tc>
          <w:tcPr/>
          <w:p>
            <w:pPr>
              <w:pStyle w:val="Compact"/>
            </w:pPr>
            <w:r>
              <w:t xml:space="preserve">0.940 / 0.003</w:t>
            </w:r>
          </w:p>
        </w:tc>
        <w:tc>
          <w:tcPr/>
          <w:p>
            <w:pPr>
              <w:pStyle w:val="Compact"/>
            </w:pPr>
            <w:r>
              <w:t xml:space="preserve">0.871 / 0.004</w:t>
            </w:r>
          </w:p>
        </w:tc>
      </w:tr>
      <w:tr>
        <w:tc>
          <w:tcPr/>
          <w:p>
            <w:pPr>
              <w:pStyle w:val="Compact"/>
            </w:pPr>
            <w:r>
              <w:t xml:space="preserve">NB</w:t>
            </w:r>
          </w:p>
        </w:tc>
        <w:tc>
          <w:tcPr/>
          <w:p>
            <w:pPr>
              <w:pStyle w:val="Compact"/>
            </w:pPr>
            <w:r>
              <w:t xml:space="preserve">0.712 / 0.003</w:t>
            </w:r>
          </w:p>
        </w:tc>
        <w:tc>
          <w:tcPr/>
          <w:p>
            <w:pPr>
              <w:pStyle w:val="Compact"/>
            </w:pPr>
            <w:r>
              <w:t xml:space="preserve">0.919 / 0.002</w:t>
            </w:r>
          </w:p>
        </w:tc>
        <w:tc>
          <w:tcPr/>
          <w:p>
            <w:pPr>
              <w:pStyle w:val="Compact"/>
            </w:pPr>
            <w:r>
              <w:t xml:space="preserve">0.857 / 0.010</w:t>
            </w:r>
          </w:p>
        </w:tc>
      </w:tr>
      <w:tr>
        <w:tc>
          <w:tcPr/>
          <w:p>
            <w:pPr>
              <w:pStyle w:val="Compact"/>
            </w:pPr>
            <w:r>
              <w:t xml:space="preserve">LDA</w:t>
            </w:r>
          </w:p>
        </w:tc>
        <w:tc>
          <w:tcPr/>
          <w:p>
            <w:pPr>
              <w:pStyle w:val="Compact"/>
            </w:pPr>
            <w:r>
              <w:t xml:space="preserve">0.724 / 0.004</w:t>
            </w:r>
          </w:p>
        </w:tc>
        <w:tc>
          <w:tcPr/>
          <w:p>
            <w:pPr>
              <w:pStyle w:val="Compact"/>
            </w:pPr>
            <w:r>
              <w:t xml:space="preserve">0.938 / 0.001</w:t>
            </w:r>
          </w:p>
        </w:tc>
        <w:tc>
          <w:tcPr/>
          <w:p>
            <w:pPr>
              <w:pStyle w:val="Compact"/>
            </w:pPr>
            <w:r>
              <w:t xml:space="preserve">0.870 / 0.003</w:t>
            </w:r>
          </w:p>
        </w:tc>
      </w:tr>
      <w:tr>
        <w:tc>
          <w:tcPr/>
          <w:p>
            <w:pPr>
              <w:pStyle w:val="Compact"/>
            </w:pPr>
            <w:r>
              <w:t xml:space="preserve">KNN</w:t>
            </w:r>
          </w:p>
        </w:tc>
        <w:tc>
          <w:tcPr/>
          <w:p>
            <w:pPr>
              <w:pStyle w:val="Compact"/>
            </w:pPr>
            <w:r>
              <w:t xml:space="preserve">0.863 / 0.234</w:t>
            </w:r>
          </w:p>
        </w:tc>
        <w:tc>
          <w:tcPr/>
          <w:p>
            <w:pPr>
              <w:pStyle w:val="Compact"/>
            </w:pPr>
            <w:r>
              <w:t xml:space="preserve">0.976 / 0.194</w:t>
            </w:r>
          </w:p>
        </w:tc>
        <w:tc>
          <w:tcPr/>
          <w:p>
            <w:pPr>
              <w:pStyle w:val="Compact"/>
            </w:pPr>
            <w:r>
              <w:t xml:space="preserve">0.937 / 0.264</w:t>
            </w:r>
          </w:p>
        </w:tc>
      </w:tr>
      <w:tr>
        <w:tc>
          <w:tcPr/>
          <w:p>
            <w:pPr>
              <w:pStyle w:val="Compact"/>
            </w:pPr>
            <w:r>
              <w:t xml:space="preserve">DT</w:t>
            </w:r>
          </w:p>
        </w:tc>
        <w:tc>
          <w:tcPr/>
          <w:p>
            <w:pPr>
              <w:pStyle w:val="Compact"/>
            </w:pPr>
            <w:r>
              <w:t xml:space="preserve">0.853 / 0.195</w:t>
            </w:r>
          </w:p>
        </w:tc>
        <w:tc>
          <w:tcPr/>
          <w:p>
            <w:pPr>
              <w:pStyle w:val="Compact"/>
            </w:pPr>
            <w:r>
              <w:t xml:space="preserve">0.980 / 0.145</w:t>
            </w:r>
          </w:p>
        </w:tc>
        <w:tc>
          <w:tcPr/>
          <w:p>
            <w:pPr>
              <w:pStyle w:val="Compact"/>
            </w:pPr>
            <w:r>
              <w:t xml:space="preserve">0.944 / 0.201</w:t>
            </w:r>
          </w:p>
        </w:tc>
      </w:tr>
      <w:tr>
        <w:tc>
          <w:tcPr/>
          <w:p>
            <w:pPr>
              <w:pStyle w:val="Compact"/>
            </w:pPr>
            <w:r>
              <w:t xml:space="preserve">RF</w:t>
            </w:r>
          </w:p>
        </w:tc>
        <w:tc>
          <w:tcPr/>
          <w:p>
            <w:pPr>
              <w:pStyle w:val="Compact"/>
            </w:pPr>
            <w:r>
              <w:t xml:space="preserve">0.997 /</w:t>
            </w:r>
            <w:r>
              <w:t xml:space="preserve"> </w:t>
            </w:r>
            <w:r>
              <w:rPr>
                <w:b/>
                <w:bCs/>
              </w:rPr>
              <w:t xml:space="preserve">0.254</w:t>
            </w:r>
          </w:p>
        </w:tc>
        <w:tc>
          <w:tcPr/>
          <w:p>
            <w:pPr>
              <w:pStyle w:val="Compact"/>
            </w:pPr>
            <w:r>
              <w:t xml:space="preserve">0.996 / 0.064</w:t>
            </w:r>
          </w:p>
        </w:tc>
        <w:tc>
          <w:tcPr/>
          <w:p>
            <w:pPr>
              <w:pStyle w:val="Compact"/>
            </w:pPr>
            <w:r>
              <w:t xml:space="preserve">0.993 / 0.134</w:t>
            </w:r>
          </w:p>
        </w:tc>
      </w:tr>
      <w:tr>
        <w:tc>
          <w:tcPr/>
          <w:p>
            <w:pPr>
              <w:pStyle w:val="Compact"/>
            </w:pPr>
            <w:r>
              <w:t xml:space="preserve">XGBoost</w:t>
            </w:r>
          </w:p>
        </w:tc>
        <w:tc>
          <w:tcPr/>
          <w:p>
            <w:pPr>
              <w:pStyle w:val="Compact"/>
            </w:pPr>
            <w:r>
              <w:t xml:space="preserve">0.909 / 0.170</w:t>
            </w:r>
          </w:p>
        </w:tc>
        <w:tc>
          <w:tcPr/>
          <w:p>
            <w:pPr>
              <w:pStyle w:val="Compact"/>
            </w:pPr>
            <w:r>
              <w:t xml:space="preserve">0.995 / 0.064</w:t>
            </w:r>
          </w:p>
        </w:tc>
        <w:tc>
          <w:tcPr/>
          <w:p>
            <w:pPr>
              <w:pStyle w:val="Compact"/>
            </w:pPr>
            <w:r>
              <w:t xml:space="preserve">0.974 / 0.117</w:t>
            </w:r>
          </w:p>
        </w:tc>
      </w:tr>
      <w:tr>
        <w:tc>
          <w:tcPr/>
          <w:p>
            <w:pPr>
              <w:pStyle w:val="Compact"/>
            </w:pPr>
            <w:r>
              <w:t xml:space="preserve">LightGBM</w:t>
            </w:r>
          </w:p>
        </w:tc>
        <w:tc>
          <w:tcPr/>
          <w:p>
            <w:pPr>
              <w:pStyle w:val="Compact"/>
            </w:pPr>
            <w:r>
              <w:t xml:space="preserve">0.969 / 0.239</w:t>
            </w:r>
          </w:p>
        </w:tc>
        <w:tc>
          <w:tcPr/>
          <w:p>
            <w:pPr>
              <w:pStyle w:val="Compact"/>
            </w:pPr>
            <w:r>
              <w:t xml:space="preserve">1.000 / 0.074</w:t>
            </w:r>
          </w:p>
        </w:tc>
        <w:tc>
          <w:tcPr/>
          <w:p>
            <w:pPr>
              <w:pStyle w:val="Compact"/>
            </w:pPr>
            <w:r>
              <w:t xml:space="preserve">0.997 / 0.146</w:t>
            </w:r>
          </w:p>
        </w:tc>
      </w:tr>
      <w:tr>
        <w:tc>
          <w:tcPr/>
          <w:p>
            <w:pPr>
              <w:pStyle w:val="Compact"/>
            </w:pPr>
            <w:r>
              <w:t xml:space="preserve">SVM</w:t>
            </w:r>
          </w:p>
        </w:tc>
        <w:tc>
          <w:tcPr/>
          <w:p>
            <w:pPr>
              <w:pStyle w:val="Compact"/>
            </w:pPr>
            <w:r>
              <w:t xml:space="preserve">0.863 / 0.137</w:t>
            </w:r>
          </w:p>
        </w:tc>
        <w:tc>
          <w:tcPr/>
          <w:p>
            <w:pPr>
              <w:pStyle w:val="Compact"/>
            </w:pPr>
            <w:r>
              <w:t xml:space="preserve">0.983 / 0.063</w:t>
            </w:r>
          </w:p>
        </w:tc>
        <w:tc>
          <w:tcPr/>
          <w:p>
            <w:pPr>
              <w:pStyle w:val="Compact"/>
            </w:pPr>
            <w:r>
              <w:t xml:space="preserve">0.946 / 0.101</w:t>
            </w:r>
          </w:p>
        </w:tc>
      </w:tr>
      <w:tr>
        <w:tc>
          <w:tcPr/>
          <w:p>
            <w:pPr>
              <w:pStyle w:val="Compact"/>
            </w:pPr>
            <w:r>
              <w:t xml:space="preserve">MLP</w:t>
            </w:r>
          </w:p>
        </w:tc>
        <w:tc>
          <w:tcPr/>
          <w:p>
            <w:pPr>
              <w:pStyle w:val="Compact"/>
            </w:pPr>
            <w:r>
              <w:t xml:space="preserve">0.712 / 0.009</w:t>
            </w:r>
          </w:p>
        </w:tc>
        <w:tc>
          <w:tcPr/>
          <w:p>
            <w:pPr>
              <w:pStyle w:val="Compact"/>
            </w:pPr>
            <w:r>
              <w:t xml:space="preserve">0.935 / 0.015</w:t>
            </w:r>
          </w:p>
        </w:tc>
        <w:tc>
          <w:tcPr/>
          <w:p>
            <w:pPr>
              <w:pStyle w:val="Compact"/>
            </w:pPr>
            <w:r>
              <w:t xml:space="preserve">0.763 / 0.021</w:t>
            </w:r>
          </w:p>
        </w:tc>
      </w:tr>
    </w:tbl>
    <w:bookmarkEnd w:id="37"/>
    <w:bookmarkStart w:id="39" w:name="X45a1f7a56c80e53b4d82e4ca863e7b01277bb46"/>
    <w:p>
      <w:pPr>
        <w:pStyle w:val="Heading3"/>
      </w:pPr>
      <w:r>
        <w:t xml:space="preserve">3.2 Feature importance (SHAP)</w:t>
      </w:r>
    </w:p>
    <w:p>
      <w:pPr>
        <w:pStyle w:val="Heading3"/>
      </w:pPr>
      <w:bookmarkStart w:id="38" w:name="Xab8b0edaaceb0402bc2e89ba64b21d33bc2ad6e"/>
      <w:r>
        <w:t xml:space="preserve">3.2 </w:t>
      </w:r>
      <w:r>
        <w:rPr>
          <w:rFonts w:hint="eastAsia"/>
        </w:rPr>
        <w:t xml:space="preserve">特徵重要性（SHAP）</w:t>
      </w:r>
      <w:bookmarkEnd w:id="38"/>
    </w:p>
    <w:p>
      <w:pPr>
        <w:pStyle w:val="FirstParagraph"/>
      </w:pPr>
      <w:r>
        <w:t xml:space="preserve">SHAP rankings (XGBoost) were disease-specific and clinically coherent (Table 4): hypertension led by SBP and age; hyperglycemia by FBG; dyslipidemia by TC and ΔeGFR. Two time points of the same biomarker usually co-appeared, indicating the model uses both recent value and historical trend. ΔeGFR was the only delta in the top 10 of all three diseases, suggesting renal-function change as a shared early marker. Deltas made up 30%/40%/30% of the top-10, showing nonlinear models split on change directly.</w:t>
      </w:r>
    </w:p>
    <w:p>
      <w:pPr>
        <w:pStyle w:val="BlockText"/>
      </w:pPr>
      <w:r>
        <w:t xml:space="preserve">SHAP </w:t>
      </w:r>
      <w:r>
        <w:rPr>
          <w:rFonts w:hint="eastAsia"/>
        </w:rPr>
        <w:t xml:space="preserve">排序（XGBoost）具疾病特異性且符合臨床直覺（表</w:t>
      </w:r>
      <w:r>
        <w:t xml:space="preserve"> </w:t>
      </w:r>
      <w:r>
        <w:rPr>
          <w:rFonts w:hint="eastAsia"/>
        </w:rPr>
        <w:t xml:space="preserve">4）：高血壓由</w:t>
      </w:r>
      <w:r>
        <w:t xml:space="preserve"> SBP </w:t>
      </w:r>
      <w:r>
        <w:rPr>
          <w:rFonts w:hint="eastAsia"/>
        </w:rPr>
        <w:t xml:space="preserve">與年齡主導；高血糖由</w:t>
      </w:r>
      <w:r>
        <w:t xml:space="preserve"> </w:t>
      </w:r>
      <w:r>
        <w:rPr>
          <w:rFonts w:hint="eastAsia"/>
        </w:rPr>
        <w:t xml:space="preserve">FBG；高血脂由</w:t>
      </w:r>
      <w:r>
        <w:t xml:space="preserve"> TC </w:t>
      </w:r>
      <w:r>
        <w:rPr>
          <w:rFonts w:hint="eastAsia"/>
        </w:rPr>
        <w:t xml:space="preserve">與</w:t>
      </w:r>
      <w:r>
        <w:t xml:space="preserve"> </w:t>
      </w:r>
      <w:r>
        <w:rPr>
          <w:rFonts w:hint="eastAsia"/>
        </w:rPr>
        <w:t xml:space="preserve">ΔeGFR。同一標記的兩個時間點常同時出現，顯示模型兼用近期值與歷史趨勢。ΔeGFR</w:t>
      </w:r>
      <w:r>
        <w:t xml:space="preserve"> </w:t>
      </w:r>
      <w:r>
        <w:rPr>
          <w:rFonts w:hint="eastAsia"/>
        </w:rPr>
        <w:t xml:space="preserve">是唯一同時進入三疾病前十的</w:t>
      </w:r>
      <w:r>
        <w:t xml:space="preserve"> Δ </w:t>
      </w:r>
      <w:r>
        <w:rPr>
          <w:rFonts w:hint="eastAsia"/>
        </w:rPr>
        <w:t xml:space="preserve">特徵，暗示腎功能變化為共通早期指標。Δ</w:t>
      </w:r>
      <w:r>
        <w:t xml:space="preserve"> </w:t>
      </w:r>
      <w:r>
        <w:rPr>
          <w:rFonts w:hint="eastAsia"/>
        </w:rPr>
        <w:t xml:space="preserve">在前十中佔</w:t>
      </w:r>
      <w:r>
        <w:t xml:space="preserve"> </w:t>
      </w:r>
      <w:r>
        <w:rPr>
          <w:rFonts w:hint="eastAsia"/>
        </w:rPr>
        <w:t xml:space="preserve">30%/40%/30%，顯示非線性模型直接以變化量分裂。</w:t>
      </w:r>
    </w:p>
    <w:p>
      <w:pPr>
        <w:pStyle w:val="FirstParagraph"/>
      </w:pPr>
      <w:r>
        <w:rPr>
          <w:b/>
          <w:bCs/>
        </w:rPr>
        <w:t xml:space="preserve">Table 4. Top-5 SHAP features per disease (XGBoost). </w:t>
      </w:r>
      <w:r>
        <w:rPr>
          <w:rFonts w:hint="eastAsia"/>
          <w:b/>
          <w:bCs/>
        </w:rPr>
        <w:t xml:space="preserve">表</w:t>
      </w:r>
      <w:r>
        <w:rPr>
          <w:b/>
          <w:bCs/>
        </w:rPr>
        <w:t xml:space="preserve"> 4　</w:t>
      </w:r>
      <w:r>
        <w:rPr>
          <w:rFonts w:hint="eastAsia"/>
          <w:b/>
          <w:bCs/>
        </w:rPr>
        <w:t xml:space="preserve">各疾病前五</w:t>
      </w:r>
      <w:r>
        <w:rPr>
          <w:b/>
          <w:bCs/>
        </w:rPr>
        <w:t xml:space="preserve"> SHAP </w:t>
      </w:r>
      <w:r>
        <w:rPr>
          <w:rFonts w:hint="eastAsia"/>
          <w:b/>
          <w:bCs/>
        </w:rPr>
        <w:t xml:space="preserve">特徵（XGBoost）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 </w:t>
            </w:r>
            <w:r>
              <w:rPr>
                <w:rFonts w:hint="eastAsia"/>
              </w:rPr>
              <w:t xml:space="preserve">名次</w:t>
            </w:r>
          </w:p>
        </w:tc>
        <w:tc>
          <w:tcPr/>
          <w:p>
            <w:pPr>
              <w:pStyle w:val="Compact"/>
            </w:pPr>
            <w:r>
              <w:t xml:space="preserve">Hypertension </w:t>
            </w:r>
            <w:r>
              <w:rPr>
                <w:rFonts w:hint="eastAsia"/>
              </w:rPr>
              <w:t xml:space="preserve">高血壓</w:t>
            </w:r>
          </w:p>
        </w:tc>
        <w:tc>
          <w:tcPr/>
          <w:p>
            <w:pPr>
              <w:pStyle w:val="Compact"/>
            </w:pPr>
            <w:r>
              <w:t xml:space="preserve">Hyperglycemia </w:t>
            </w:r>
            <w:r>
              <w:rPr>
                <w:rFonts w:hint="eastAsia"/>
              </w:rPr>
              <w:t xml:space="preserve">高血糖</w:t>
            </w:r>
          </w:p>
        </w:tc>
        <w:tc>
          <w:tcPr/>
          <w:p>
            <w:pPr>
              <w:pStyle w:val="Compact"/>
            </w:pPr>
            <w:r>
              <w:t xml:space="preserve">Dyslipidemia </w:t>
            </w:r>
            <w:r>
              <w:rPr>
                <w:rFonts w:hint="eastAsia"/>
              </w:rPr>
              <w:t xml:space="preserve">高血脂</w:t>
            </w:r>
          </w:p>
        </w:tc>
      </w:tr>
      <w:tr>
        <w:tc>
          <w:tcPr/>
          <w:p>
            <w:pPr>
              <w:pStyle w:val="Compact"/>
            </w:pPr>
            <w:r>
              <w:t xml:space="preserve">1</w:t>
            </w:r>
          </w:p>
        </w:tc>
        <w:tc>
          <w:tcPr/>
          <w:p>
            <w:pPr>
              <w:pStyle w:val="Compact"/>
            </w:pPr>
            <w:r>
              <w:t xml:space="preserve">SBP_(Y−2)</w:t>
            </w:r>
          </w:p>
        </w:tc>
        <w:tc>
          <w:tcPr/>
          <w:p>
            <w:pPr>
              <w:pStyle w:val="Compact"/>
            </w:pPr>
            <w:r>
              <w:t xml:space="preserve">FBG_(Y−1)</w:t>
            </w:r>
          </w:p>
        </w:tc>
        <w:tc>
          <w:tcPr/>
          <w:p>
            <w:pPr>
              <w:pStyle w:val="Compact"/>
            </w:pPr>
            <w:r>
              <w:t xml:space="preserve">TC_(Y−1)</w:t>
            </w:r>
          </w:p>
        </w:tc>
      </w:tr>
      <w:tr>
        <w:tc>
          <w:tcPr/>
          <w:p>
            <w:pPr>
              <w:pStyle w:val="Compact"/>
            </w:pPr>
            <w:r>
              <w:t xml:space="preserve">2</w:t>
            </w:r>
          </w:p>
        </w:tc>
        <w:tc>
          <w:tcPr/>
          <w:p>
            <w:pPr>
              <w:pStyle w:val="Compact"/>
            </w:pPr>
            <w:r>
              <w:t xml:space="preserve">SBP_(Y−1)</w:t>
            </w:r>
          </w:p>
        </w:tc>
        <w:tc>
          <w:tcPr/>
          <w:p>
            <w:pPr>
              <w:pStyle w:val="Compact"/>
            </w:pPr>
            <w:r>
              <w:t xml:space="preserve">FBG_(Y−2)</w:t>
            </w:r>
          </w:p>
        </w:tc>
        <w:tc>
          <w:tcPr/>
          <w:p>
            <w:pPr>
              <w:pStyle w:val="Compact"/>
            </w:pPr>
            <w:r>
              <w:t xml:space="preserve">TC_(Y−2)</w:t>
            </w:r>
          </w:p>
        </w:tc>
      </w:tr>
      <w:tr>
        <w:tc>
          <w:tcPr/>
          <w:p>
            <w:pPr>
              <w:pStyle w:val="Compact"/>
            </w:pPr>
            <w:r>
              <w:t xml:space="preserve">3</w:t>
            </w:r>
          </w:p>
        </w:tc>
        <w:tc>
          <w:tcPr/>
          <w:p>
            <w:pPr>
              <w:pStyle w:val="Compact"/>
            </w:pPr>
            <w:r>
              <w:t xml:space="preserve">Age</w:t>
            </w:r>
          </w:p>
        </w:tc>
        <w:tc>
          <w:tcPr/>
          <w:p>
            <w:pPr>
              <w:pStyle w:val="Compact"/>
            </w:pPr>
            <w:r>
              <w:t xml:space="preserve">ΔTC</w:t>
            </w:r>
          </w:p>
        </w:tc>
        <w:tc>
          <w:tcPr/>
          <w:p>
            <w:pPr>
              <w:pStyle w:val="Compact"/>
            </w:pPr>
            <w:r>
              <w:t xml:space="preserve">ΔeGFR</w:t>
            </w:r>
          </w:p>
        </w:tc>
      </w:tr>
      <w:tr>
        <w:tc>
          <w:tcPr/>
          <w:p>
            <w:pPr>
              <w:pStyle w:val="Compact"/>
            </w:pPr>
            <w:r>
              <w:t xml:space="preserve">4</w:t>
            </w:r>
          </w:p>
        </w:tc>
        <w:tc>
          <w:tcPr/>
          <w:p>
            <w:pPr>
              <w:pStyle w:val="Compact"/>
            </w:pPr>
            <w:r>
              <w:t xml:space="preserve">ΔDBP</w:t>
            </w:r>
          </w:p>
        </w:tc>
        <w:tc>
          <w:tcPr/>
          <w:p>
            <w:pPr>
              <w:pStyle w:val="Compact"/>
            </w:pPr>
            <w:r>
              <w:t xml:space="preserve">BMI_(Y−1)</w:t>
            </w:r>
          </w:p>
        </w:tc>
        <w:tc>
          <w:tcPr/>
          <w:p>
            <w:pPr>
              <w:pStyle w:val="Compact"/>
            </w:pPr>
            <w:r>
              <w:t xml:space="preserve">Age</w:t>
            </w:r>
          </w:p>
        </w:tc>
      </w:tr>
      <w:tr>
        <w:tc>
          <w:tcPr/>
          <w:p>
            <w:pPr>
              <w:pStyle w:val="Compact"/>
            </w:pPr>
            <w:r>
              <w:t xml:space="preserve">5</w:t>
            </w:r>
          </w:p>
        </w:tc>
        <w:tc>
          <w:tcPr/>
          <w:p>
            <w:pPr>
              <w:pStyle w:val="Compact"/>
            </w:pPr>
            <w:r>
              <w:t xml:space="preserve">DBP_(Y−1)</w:t>
            </w:r>
          </w:p>
        </w:tc>
        <w:tc>
          <w:tcPr/>
          <w:p>
            <w:pPr>
              <w:pStyle w:val="Compact"/>
            </w:pPr>
            <w:r>
              <w:t xml:space="preserve">BMI_(Y−2)</w:t>
            </w:r>
          </w:p>
        </w:tc>
        <w:tc>
          <w:tcPr/>
          <w:p>
            <w:pPr>
              <w:pStyle w:val="Compact"/>
            </w:pPr>
            <w:r>
              <w:t xml:space="preserve">eGFR_(Y−2)</w:t>
            </w:r>
          </w:p>
        </w:tc>
      </w:tr>
    </w:tbl>
    <w:bookmarkEnd w:id="39"/>
    <w:bookmarkStart w:id="41" w:name="X4a52a95e4bcb14de716823a06b825c8fed271cf"/>
    <w:p>
      <w:pPr>
        <w:pStyle w:val="Heading3"/>
      </w:pPr>
      <w:r>
        <w:t xml:space="preserve">3.3 Delta-feature ablation</w:t>
      </w:r>
    </w:p>
    <w:p>
      <w:pPr>
        <w:pStyle w:val="Heading3"/>
      </w:pPr>
      <w:bookmarkStart w:id="40" w:name="X1e5cc3f703d07620dbf73b3852d99fcdf4cc029"/>
      <w:r>
        <w:t xml:space="preserve">3.3 Δ </w:t>
      </w:r>
      <w:r>
        <w:rPr>
          <w:rFonts w:hint="eastAsia"/>
        </w:rPr>
        <w:t xml:space="preserve">特徵消融</w:t>
      </w:r>
      <w:bookmarkEnd w:id="40"/>
    </w:p>
    <w:p>
      <w:pPr>
        <w:pStyle w:val="FirstParagraph"/>
      </w:pPr>
      <w:r>
        <w:t xml:space="preserve">With both Y−2 and Y−1 present, removing deltas changed AUC by essentially zero (Table 5): since Δ = Y−1 − Y−2, a linear model recovers the effect from the two raw coefficients, making deltas redundant. But with only Y−1, adding deltas raised AUC by 1.5–2.3% (Table 6)—because deltas reintroduce Y−2 information—confirming that more time points help. A delta-only model performed poorly (AUC 0.593/0.668/0.636): change direction alone, without the baseline value, has limited standalone power.</w:t>
      </w:r>
    </w:p>
    <w:p>
      <w:pPr>
        <w:pStyle w:val="BlockText"/>
      </w:pPr>
      <w:r>
        <w:rPr>
          <w:rFonts w:hint="eastAsia"/>
        </w:rPr>
        <w:t xml:space="preserve">當</w:t>
      </w:r>
      <w:r>
        <w:t xml:space="preserve"> Y−2 </w:t>
      </w:r>
      <w:r>
        <w:rPr>
          <w:rFonts w:hint="eastAsia"/>
        </w:rPr>
        <w:t xml:space="preserve">與</w:t>
      </w:r>
      <w:r>
        <w:t xml:space="preserve"> Y−1 </w:t>
      </w:r>
      <w:r>
        <w:rPr>
          <w:rFonts w:hint="eastAsia"/>
        </w:rPr>
        <w:t xml:space="preserve">皆存在時，移除</w:t>
      </w:r>
      <w:r>
        <w:t xml:space="preserve"> Δ </w:t>
      </w:r>
      <w:r>
        <w:rPr>
          <w:rFonts w:hint="eastAsia"/>
        </w:rPr>
        <w:t xml:space="preserve">對</w:t>
      </w:r>
      <w:r>
        <w:t xml:space="preserve"> AUC </w:t>
      </w:r>
      <w:r>
        <w:rPr>
          <w:rFonts w:hint="eastAsia"/>
        </w:rPr>
        <w:t xml:space="preserve">幾乎無影響（表</w:t>
      </w:r>
      <w:r>
        <w:t xml:space="preserve"> </w:t>
      </w:r>
      <w:r>
        <w:rPr>
          <w:rFonts w:hint="eastAsia"/>
        </w:rPr>
        <w:t xml:space="preserve">5）：因</w:t>
      </w:r>
      <w:r>
        <w:t xml:space="preserve"> Δ = Y−1 − </w:t>
      </w:r>
      <w:r>
        <w:rPr>
          <w:rFonts w:hint="eastAsia"/>
        </w:rPr>
        <w:t xml:space="preserve">Y−2，線性模型可由兩個原始係數還原此效果，故</w:t>
      </w:r>
      <w:r>
        <w:t xml:space="preserve"> Δ </w:t>
      </w:r>
      <w:r>
        <w:rPr>
          <w:rFonts w:hint="eastAsia"/>
        </w:rPr>
        <w:t xml:space="preserve">為冗餘。但僅有</w:t>
      </w:r>
      <w:r>
        <w:t xml:space="preserve"> Y−1 </w:t>
      </w:r>
      <w:r>
        <w:rPr>
          <w:rFonts w:hint="eastAsia"/>
        </w:rPr>
        <w:t xml:space="preserve">時，加入</w:t>
      </w:r>
      <w:r>
        <w:t xml:space="preserve"> Δ </w:t>
      </w:r>
      <w:r>
        <w:rPr>
          <w:rFonts w:hint="eastAsia"/>
        </w:rPr>
        <w:t xml:space="preserve">可提升</w:t>
      </w:r>
      <w:r>
        <w:t xml:space="preserve"> AUC </w:t>
      </w:r>
      <w:r>
        <w:rPr>
          <w:rFonts w:hint="eastAsia"/>
        </w:rPr>
        <w:t xml:space="preserve">1.5–2.3%（表</w:t>
      </w:r>
      <w:r>
        <w:t xml:space="preserve"> </w:t>
      </w:r>
      <w:r>
        <w:rPr>
          <w:rFonts w:hint="eastAsia"/>
        </w:rPr>
        <w:t xml:space="preserve">6）——因</w:t>
      </w:r>
      <w:r>
        <w:t xml:space="preserve"> Δ </w:t>
      </w:r>
      <w:r>
        <w:rPr>
          <w:rFonts w:hint="eastAsia"/>
        </w:rPr>
        <w:t xml:space="preserve">重新帶入</w:t>
      </w:r>
      <w:r>
        <w:t xml:space="preserve"> Y−2 </w:t>
      </w:r>
      <w:r>
        <w:rPr>
          <w:rFonts w:hint="eastAsia"/>
        </w:rPr>
        <w:t xml:space="preserve">資訊——印證更多時間點有助預測。僅用</w:t>
      </w:r>
      <w:r>
        <w:t xml:space="preserve"> Δ </w:t>
      </w:r>
      <w:r>
        <w:rPr>
          <w:rFonts w:hint="eastAsia"/>
        </w:rPr>
        <w:t xml:space="preserve">的模型表現不佳（AUC</w:t>
      </w:r>
      <w:r>
        <w:t xml:space="preserve"> </w:t>
      </w:r>
      <w:r>
        <w:rPr>
          <w:rFonts w:hint="eastAsia"/>
        </w:rPr>
        <w:t xml:space="preserve">0.593/0.668/0.636）：缺乏基線值時，變化方向本身的獨立預測力有限。</w:t>
      </w:r>
    </w:p>
    <w:p>
      <w:pPr>
        <w:pStyle w:val="FirstParagraph"/>
      </w:pPr>
      <w:r>
        <w:rPr>
          <w:b/>
          <w:bCs/>
        </w:rPr>
        <w:t xml:space="preserve">Table 5. Full (26) vs No-Delta (18), LR. </w:t>
      </w:r>
      <w:r>
        <w:rPr>
          <w:rFonts w:hint="eastAsia"/>
          <w:b/>
          <w:bCs/>
        </w:rPr>
        <w:t xml:space="preserve">表</w:t>
      </w:r>
      <w:r>
        <w:rPr>
          <w:b/>
          <w:bCs/>
        </w:rPr>
        <w:t xml:space="preserve"> 5　</w:t>
      </w:r>
      <w:r>
        <w:rPr>
          <w:rFonts w:hint="eastAsia"/>
          <w:b/>
          <w:bCs/>
        </w:rPr>
        <w:t xml:space="preserve">完整(26)</w:t>
      </w:r>
      <w:r>
        <w:rPr>
          <w:b/>
          <w:bCs/>
        </w:rPr>
        <w:t xml:space="preserve"> vs </w:t>
      </w:r>
      <w:r>
        <w:rPr>
          <w:rFonts w:hint="eastAsia"/>
          <w:b/>
          <w:bCs/>
        </w:rPr>
        <w:t xml:space="preserve">去</w:t>
      </w:r>
      <w:r>
        <w:rPr>
          <w:b/>
          <w:bCs/>
        </w:rPr>
        <w:t xml:space="preserve"> </w:t>
      </w:r>
      <w:r>
        <w:rPr>
          <w:rFonts w:hint="eastAsia"/>
          <w:b/>
          <w:bCs/>
        </w:rPr>
        <w:t xml:space="preserve">Δ(18)，LR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Disease </w:t>
            </w:r>
            <w:r>
              <w:rPr>
                <w:rFonts w:hint="eastAsia"/>
              </w:rPr>
              <w:t xml:space="preserve">疾病</w:t>
            </w:r>
          </w:p>
        </w:tc>
        <w:tc>
          <w:tcPr/>
          <w:p>
            <w:pPr>
              <w:pStyle w:val="Compact"/>
            </w:pPr>
            <w:r>
              <w:t xml:space="preserve">Full </w:t>
            </w:r>
            <w:r>
              <w:rPr>
                <w:rFonts w:hint="eastAsia"/>
              </w:rPr>
              <w:t xml:space="preserve">完整</w:t>
            </w:r>
          </w:p>
        </w:tc>
        <w:tc>
          <w:tcPr/>
          <w:p>
            <w:pPr>
              <w:pStyle w:val="Compact"/>
            </w:pPr>
            <w:r>
              <w:t xml:space="preserve">No-Delta </w:t>
            </w:r>
            <w:r>
              <w:rPr>
                <w:rFonts w:hint="eastAsia"/>
              </w:rPr>
              <w:t xml:space="preserve">去</w:t>
            </w:r>
            <w:r>
              <w:t xml:space="preserve"> Δ</w:t>
            </w:r>
          </w:p>
        </w:tc>
        <w:tc>
          <w:tcPr/>
          <w:p>
            <w:pPr>
              <w:pStyle w:val="Compact"/>
            </w:pPr>
            <w:r>
              <w:t xml:space="preserve">Δ</w:t>
            </w:r>
          </w:p>
        </w:tc>
      </w:tr>
      <w:tr>
        <w:tc>
          <w:tcPr/>
          <w:p>
            <w:pPr>
              <w:pStyle w:val="Compact"/>
            </w:pPr>
            <w:r>
              <w:t xml:space="preserve">HTN </w:t>
            </w:r>
            <w:r>
              <w:rPr>
                <w:rFonts w:hint="eastAsia"/>
              </w:rPr>
              <w:t xml:space="preserve">高血壓</w:t>
            </w:r>
          </w:p>
        </w:tc>
        <w:tc>
          <w:tcPr/>
          <w:p>
            <w:pPr>
              <w:pStyle w:val="Compact"/>
            </w:pPr>
            <w:r>
              <w:t xml:space="preserve">0.721</w:t>
            </w:r>
          </w:p>
        </w:tc>
        <w:tc>
          <w:tcPr/>
          <w:p>
            <w:pPr>
              <w:pStyle w:val="Compact"/>
            </w:pPr>
            <w:r>
              <w:t xml:space="preserve">0.721</w:t>
            </w:r>
          </w:p>
        </w:tc>
        <w:tc>
          <w:tcPr/>
          <w:p>
            <w:pPr>
              <w:pStyle w:val="Compact"/>
            </w:pPr>
            <w:r>
              <w:t xml:space="preserve">0.0%</w:t>
            </w:r>
          </w:p>
        </w:tc>
      </w:tr>
      <w:tr>
        <w:tc>
          <w:tcPr/>
          <w:p>
            <w:pPr>
              <w:pStyle w:val="Compact"/>
            </w:pPr>
            <w:r>
              <w:t xml:space="preserve">HG </w:t>
            </w:r>
            <w:r>
              <w:rPr>
                <w:rFonts w:hint="eastAsia"/>
              </w:rPr>
              <w:t xml:space="preserve">高血糖</w:t>
            </w:r>
          </w:p>
        </w:tc>
        <w:tc>
          <w:tcPr/>
          <w:p>
            <w:pPr>
              <w:pStyle w:val="Compact"/>
            </w:pPr>
            <w:r>
              <w:t xml:space="preserve">0.938</w:t>
            </w:r>
          </w:p>
        </w:tc>
        <w:tc>
          <w:tcPr/>
          <w:p>
            <w:pPr>
              <w:pStyle w:val="Compact"/>
            </w:pPr>
            <w:r>
              <w:t xml:space="preserve">0.938</w:t>
            </w:r>
          </w:p>
        </w:tc>
        <w:tc>
          <w:tcPr/>
          <w:p>
            <w:pPr>
              <w:pStyle w:val="Compact"/>
            </w:pPr>
            <w:r>
              <w:t xml:space="preserve">0.0%</w:t>
            </w:r>
          </w:p>
        </w:tc>
      </w:tr>
      <w:tr>
        <w:tc>
          <w:tcPr/>
          <w:p>
            <w:pPr>
              <w:pStyle w:val="Compact"/>
            </w:pPr>
            <w:r>
              <w:t xml:space="preserve">DL </w:t>
            </w:r>
            <w:r>
              <w:rPr>
                <w:rFonts w:hint="eastAsia"/>
              </w:rPr>
              <w:t xml:space="preserve">高血脂</w:t>
            </w:r>
          </w:p>
        </w:tc>
        <w:tc>
          <w:tcPr/>
          <w:p>
            <w:pPr>
              <w:pStyle w:val="Compact"/>
            </w:pPr>
            <w:r>
              <w:t xml:space="preserve">0.867</w:t>
            </w:r>
          </w:p>
        </w:tc>
        <w:tc>
          <w:tcPr/>
          <w:p>
            <w:pPr>
              <w:pStyle w:val="Compact"/>
            </w:pPr>
            <w:r>
              <w:t xml:space="preserve">0.867</w:t>
            </w:r>
          </w:p>
        </w:tc>
        <w:tc>
          <w:tcPr/>
          <w:p>
            <w:pPr>
              <w:pStyle w:val="Compact"/>
            </w:pPr>
            <w:r>
              <w:t xml:space="preserve">0.0%</w:t>
            </w:r>
          </w:p>
        </w:tc>
      </w:tr>
    </w:tbl>
    <w:p>
      <w:pPr>
        <w:pStyle w:val="BodyText"/>
      </w:pPr>
      <w:r>
        <w:rPr>
          <w:b/>
          <w:bCs/>
        </w:rPr>
        <w:t xml:space="preserve">Table 6. Y−1 + Delta vs Y−1 only, LR (AUC). </w:t>
      </w:r>
      <w:r>
        <w:rPr>
          <w:rFonts w:hint="eastAsia"/>
          <w:b/>
          <w:bCs/>
        </w:rPr>
        <w:t xml:space="preserve">表</w:t>
      </w:r>
      <w:r>
        <w:rPr>
          <w:b/>
          <w:bCs/>
        </w:rPr>
        <w:t xml:space="preserve"> 6　Y−1 + Δ vs </w:t>
      </w:r>
      <w:r>
        <w:rPr>
          <w:rFonts w:hint="eastAsia"/>
          <w:b/>
          <w:bCs/>
        </w:rPr>
        <w:t xml:space="preserve">僅</w:t>
      </w:r>
      <w:r>
        <w:rPr>
          <w:b/>
          <w:bCs/>
        </w:rPr>
        <w:t xml:space="preserve"> </w:t>
      </w:r>
      <w:r>
        <w:rPr>
          <w:rFonts w:hint="eastAsia"/>
          <w:b/>
          <w:bCs/>
        </w:rPr>
        <w:t xml:space="preserve">Y−1，LR（AUC）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Disease </w:t>
            </w:r>
            <w:r>
              <w:rPr>
                <w:rFonts w:hint="eastAsia"/>
              </w:rPr>
              <w:t xml:space="preserve">疾病</w:t>
            </w:r>
          </w:p>
        </w:tc>
        <w:tc>
          <w:tcPr/>
          <w:p>
            <w:pPr>
              <w:pStyle w:val="Compact"/>
            </w:pPr>
            <w:r>
              <w:t xml:space="preserve">Y−1 + Δ</w:t>
            </w:r>
          </w:p>
        </w:tc>
        <w:tc>
          <w:tcPr/>
          <w:p>
            <w:pPr>
              <w:pStyle w:val="Compact"/>
            </w:pPr>
            <w:r>
              <w:t xml:space="preserve">Y−1 only </w:t>
            </w:r>
            <w:r>
              <w:rPr>
                <w:rFonts w:hint="eastAsia"/>
              </w:rPr>
              <w:t xml:space="preserve">僅</w:t>
            </w:r>
            <w:r>
              <w:t xml:space="preserve"> Y−1</w:t>
            </w:r>
          </w:p>
        </w:tc>
        <w:tc>
          <w:tcPr/>
          <w:p>
            <w:pPr>
              <w:pStyle w:val="Compact"/>
            </w:pPr>
            <w:r>
              <w:t xml:space="preserve">Gain </w:t>
            </w:r>
            <w:r>
              <w:rPr>
                <w:rFonts w:hint="eastAsia"/>
              </w:rPr>
              <w:t xml:space="preserve">提升</w:t>
            </w:r>
          </w:p>
        </w:tc>
      </w:tr>
      <w:tr>
        <w:tc>
          <w:tcPr/>
          <w:p>
            <w:pPr>
              <w:pStyle w:val="Compact"/>
            </w:pPr>
            <w:r>
              <w:t xml:space="preserve">HTN </w:t>
            </w:r>
            <w:r>
              <w:rPr>
                <w:rFonts w:hint="eastAsia"/>
              </w:rPr>
              <w:t xml:space="preserve">高血壓</w:t>
            </w:r>
          </w:p>
        </w:tc>
        <w:tc>
          <w:tcPr/>
          <w:p>
            <w:pPr>
              <w:pStyle w:val="Compact"/>
            </w:pPr>
            <w:r>
              <w:t xml:space="preserve">0.721</w:t>
            </w:r>
          </w:p>
        </w:tc>
        <w:tc>
          <w:tcPr/>
          <w:p>
            <w:pPr>
              <w:pStyle w:val="Compact"/>
            </w:pPr>
            <w:r>
              <w:t xml:space="preserve">0.698</w:t>
            </w:r>
          </w:p>
        </w:tc>
        <w:tc>
          <w:tcPr/>
          <w:p>
            <w:pPr>
              <w:pStyle w:val="Compact"/>
            </w:pPr>
            <w:r>
              <w:rPr>
                <w:b/>
                <w:bCs/>
              </w:rPr>
              <w:t xml:space="preserve">+2.3%</w:t>
            </w:r>
          </w:p>
        </w:tc>
      </w:tr>
      <w:tr>
        <w:tc>
          <w:tcPr/>
          <w:p>
            <w:pPr>
              <w:pStyle w:val="Compact"/>
            </w:pPr>
            <w:r>
              <w:t xml:space="preserve">HG </w:t>
            </w:r>
            <w:r>
              <w:rPr>
                <w:rFonts w:hint="eastAsia"/>
              </w:rPr>
              <w:t xml:space="preserve">高血糖</w:t>
            </w:r>
          </w:p>
        </w:tc>
        <w:tc>
          <w:tcPr/>
          <w:p>
            <w:pPr>
              <w:pStyle w:val="Compact"/>
            </w:pPr>
            <w:r>
              <w:t xml:space="preserve">0.938</w:t>
            </w:r>
          </w:p>
        </w:tc>
        <w:tc>
          <w:tcPr/>
          <w:p>
            <w:pPr>
              <w:pStyle w:val="Compact"/>
            </w:pPr>
            <w:r>
              <w:t xml:space="preserve">0.923</w:t>
            </w:r>
          </w:p>
        </w:tc>
        <w:tc>
          <w:tcPr/>
          <w:p>
            <w:pPr>
              <w:pStyle w:val="Compact"/>
            </w:pPr>
            <w:r>
              <w:t xml:space="preserve">+1.5%</w:t>
            </w:r>
          </w:p>
        </w:tc>
      </w:tr>
      <w:tr>
        <w:tc>
          <w:tcPr/>
          <w:p>
            <w:pPr>
              <w:pStyle w:val="Compact"/>
            </w:pPr>
            <w:r>
              <w:t xml:space="preserve">DL </w:t>
            </w:r>
            <w:r>
              <w:rPr>
                <w:rFonts w:hint="eastAsia"/>
              </w:rPr>
              <w:t xml:space="preserve">高血脂</w:t>
            </w:r>
          </w:p>
        </w:tc>
        <w:tc>
          <w:tcPr/>
          <w:p>
            <w:pPr>
              <w:pStyle w:val="Compact"/>
            </w:pPr>
            <w:r>
              <w:t xml:space="preserve">0.867</w:t>
            </w:r>
          </w:p>
        </w:tc>
        <w:tc>
          <w:tcPr/>
          <w:p>
            <w:pPr>
              <w:pStyle w:val="Compact"/>
            </w:pPr>
            <w:r>
              <w:t xml:space="preserve">0.846</w:t>
            </w:r>
          </w:p>
        </w:tc>
        <w:tc>
          <w:tcPr/>
          <w:p>
            <w:pPr>
              <w:pStyle w:val="Compact"/>
            </w:pPr>
            <w:r>
              <w:t xml:space="preserve">+2.1%</w:t>
            </w:r>
          </w:p>
        </w:tc>
      </w:tr>
    </w:tbl>
    <w:bookmarkEnd w:id="41"/>
    <w:bookmarkStart w:id="43" w:name="X70122442cd59addae9130e5c92696b946cd264d"/>
    <w:p>
      <w:pPr>
        <w:pStyle w:val="Heading3"/>
      </w:pPr>
      <w:r>
        <w:t xml:space="preserve">3.4 Feature-count ablation</w:t>
      </w:r>
    </w:p>
    <w:p>
      <w:pPr>
        <w:pStyle w:val="Heading3"/>
      </w:pPr>
      <w:bookmarkStart w:id="42" w:name="Xae0915597e3a3a50b12ccc2c0431aa2649fdfb7"/>
      <w:r>
        <w:t xml:space="preserve">3.4 </w:t>
      </w:r>
      <w:r>
        <w:rPr>
          <w:rFonts w:hint="eastAsia"/>
        </w:rPr>
        <w:t xml:space="preserve">特徵數量消融</w:t>
      </w:r>
      <w:bookmarkEnd w:id="42"/>
    </w:p>
    <w:p>
      <w:pPr>
        <w:pStyle w:val="FirstParagraph"/>
      </w:pPr>
      <w:r>
        <w:t xml:space="preserve">Predictive power concentrated in very few features (Table 7). The top two SHAP features—two time points of one core biomarker—retained AUC within ~0.8% of the full model (HTN 0.715, HG 0.933, DL 0.861). A single feature sufficed for hyperglycemia (0.920). Beyond five features, differences were ≤0.005. This supports a low-cost scheme needing only two measurements of one core biomarker.</w:t>
      </w:r>
    </w:p>
    <w:p>
      <w:pPr>
        <w:pStyle w:val="BlockText"/>
      </w:pPr>
      <w:r>
        <w:rPr>
          <w:rFonts w:hint="eastAsia"/>
        </w:rPr>
        <w:t xml:space="preserve">預測力高度集中於少數特徵（表</w:t>
      </w:r>
      <w:r>
        <w:t xml:space="preserve"> </w:t>
      </w:r>
      <w:r>
        <w:rPr>
          <w:rFonts w:hint="eastAsia"/>
        </w:rPr>
        <w:t xml:space="preserve">7）。前兩大</w:t>
      </w:r>
      <w:r>
        <w:t xml:space="preserve"> SHAP </w:t>
      </w:r>
      <w:r>
        <w:rPr>
          <w:rFonts w:hint="eastAsia"/>
        </w:rPr>
        <w:t xml:space="preserve">特徵——同一核心標記的兩個時間點——即可保留</w:t>
      </w:r>
      <w:r>
        <w:t xml:space="preserve"> AUC </w:t>
      </w:r>
      <w:r>
        <w:rPr>
          <w:rFonts w:hint="eastAsia"/>
        </w:rPr>
        <w:t xml:space="preserve">在完整模型</w:t>
      </w:r>
      <w:r>
        <w:t xml:space="preserve"> ~0.8% </w:t>
      </w:r>
      <w:r>
        <w:rPr>
          <w:rFonts w:hint="eastAsia"/>
        </w:rPr>
        <w:t xml:space="preserve">內（高血壓</w:t>
      </w:r>
      <w:r>
        <w:t xml:space="preserve"> </w:t>
      </w:r>
      <w:r>
        <w:rPr>
          <w:rFonts w:hint="eastAsia"/>
        </w:rPr>
        <w:t xml:space="preserve">0.715、高血糖</w:t>
      </w:r>
      <w:r>
        <w:t xml:space="preserve"> </w:t>
      </w:r>
      <w:r>
        <w:rPr>
          <w:rFonts w:hint="eastAsia"/>
        </w:rPr>
        <w:t xml:space="preserve">0.933、高血脂</w:t>
      </w:r>
      <w:r>
        <w:t xml:space="preserve"> </w:t>
      </w:r>
      <w:r>
        <w:rPr>
          <w:rFonts w:hint="eastAsia"/>
        </w:rPr>
        <w:t xml:space="preserve">0.861）。單一特徵對高血糖已足夠（0.920）。超過五個特徵後差異</w:t>
      </w:r>
      <w:r>
        <w:t xml:space="preserve"> </w:t>
      </w:r>
      <w:r>
        <w:rPr>
          <w:rFonts w:hint="eastAsia"/>
        </w:rPr>
        <w:t xml:space="preserve">≤0.005。此支持只需量測單一核心標記兩次的低成本方案。</w:t>
      </w:r>
    </w:p>
    <w:p>
      <w:pPr>
        <w:pStyle w:val="FirstParagraph"/>
      </w:pPr>
      <w:r>
        <w:rPr>
          <w:b/>
          <w:bCs/>
        </w:rPr>
        <w:t xml:space="preserve">Table 7. Feature-count ablation, AUC (LR). </w:t>
      </w:r>
      <w:r>
        <w:rPr>
          <w:rFonts w:hint="eastAsia"/>
          <w:b/>
          <w:bCs/>
        </w:rPr>
        <w:t xml:space="preserve">表</w:t>
      </w:r>
      <w:r>
        <w:rPr>
          <w:b/>
          <w:bCs/>
        </w:rPr>
        <w:t xml:space="preserve"> 7　</w:t>
      </w:r>
      <w:r>
        <w:rPr>
          <w:rFonts w:hint="eastAsia"/>
          <w:b/>
          <w:bCs/>
        </w:rPr>
        <w:t xml:space="preserve">特徵數量消融，AUC（LR）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 features </w:t>
            </w:r>
            <w:r>
              <w:rPr>
                <w:rFonts w:hint="eastAsia"/>
              </w:rPr>
              <w:t xml:space="preserve">特徵數</w:t>
            </w:r>
          </w:p>
        </w:tc>
        <w:tc>
          <w:tcPr/>
          <w:p>
            <w:pPr>
              <w:pStyle w:val="Compact"/>
            </w:pPr>
            <w:r>
              <w:t xml:space="preserve">HTN </w:t>
            </w:r>
            <w:r>
              <w:rPr>
                <w:rFonts w:hint="eastAsia"/>
              </w:rPr>
              <w:t xml:space="preserve">高血壓</w:t>
            </w:r>
          </w:p>
        </w:tc>
        <w:tc>
          <w:tcPr/>
          <w:p>
            <w:pPr>
              <w:pStyle w:val="Compact"/>
            </w:pPr>
            <w:r>
              <w:t xml:space="preserve">HG </w:t>
            </w:r>
            <w:r>
              <w:rPr>
                <w:rFonts w:hint="eastAsia"/>
              </w:rPr>
              <w:t xml:space="preserve">高血糖</w:t>
            </w:r>
          </w:p>
        </w:tc>
        <w:tc>
          <w:tcPr/>
          <w:p>
            <w:pPr>
              <w:pStyle w:val="Compact"/>
            </w:pPr>
            <w:r>
              <w:t xml:space="preserve">DL </w:t>
            </w:r>
            <w:r>
              <w:rPr>
                <w:rFonts w:hint="eastAsia"/>
              </w:rPr>
              <w:t xml:space="preserve">高血脂</w:t>
            </w:r>
          </w:p>
        </w:tc>
      </w:tr>
      <w:tr>
        <w:tc>
          <w:tcPr/>
          <w:p>
            <w:pPr>
              <w:pStyle w:val="Compact"/>
            </w:pPr>
            <w:r>
              <w:t xml:space="preserve">1</w:t>
            </w:r>
          </w:p>
        </w:tc>
        <w:tc>
          <w:tcPr/>
          <w:p>
            <w:pPr>
              <w:pStyle w:val="Compact"/>
            </w:pPr>
            <w:r>
              <w:t xml:space="preserve">0.686</w:t>
            </w:r>
          </w:p>
        </w:tc>
        <w:tc>
          <w:tcPr/>
          <w:p>
            <w:pPr>
              <w:pStyle w:val="Compact"/>
            </w:pPr>
            <w:r>
              <w:t xml:space="preserve">0.920</w:t>
            </w:r>
          </w:p>
        </w:tc>
        <w:tc>
          <w:tcPr/>
          <w:p>
            <w:pPr>
              <w:pStyle w:val="Compact"/>
            </w:pPr>
            <w:r>
              <w:t xml:space="preserve">0.842</w:t>
            </w:r>
          </w:p>
        </w:tc>
      </w:tr>
      <w:tr>
        <w:tc>
          <w:tcPr/>
          <w:p>
            <w:pPr>
              <w:pStyle w:val="Compact"/>
            </w:pPr>
            <w:r>
              <w:t xml:space="preserve">2</w:t>
            </w:r>
          </w:p>
        </w:tc>
        <w:tc>
          <w:tcPr/>
          <w:p>
            <w:pPr>
              <w:pStyle w:val="Compact"/>
            </w:pPr>
            <w:r>
              <w:t xml:space="preserve">0.715</w:t>
            </w:r>
          </w:p>
        </w:tc>
        <w:tc>
          <w:tcPr/>
          <w:p>
            <w:pPr>
              <w:pStyle w:val="Compact"/>
            </w:pPr>
            <w:r>
              <w:t xml:space="preserve">0.933</w:t>
            </w:r>
          </w:p>
        </w:tc>
        <w:tc>
          <w:tcPr/>
          <w:p>
            <w:pPr>
              <w:pStyle w:val="Compact"/>
            </w:pPr>
            <w:r>
              <w:t xml:space="preserve">0.861</w:t>
            </w:r>
          </w:p>
        </w:tc>
      </w:tr>
      <w:tr>
        <w:tc>
          <w:tcPr/>
          <w:p>
            <w:pPr>
              <w:pStyle w:val="Compact"/>
            </w:pPr>
            <w:r>
              <w:t xml:space="preserve">5</w:t>
            </w:r>
          </w:p>
        </w:tc>
        <w:tc>
          <w:tcPr/>
          <w:p>
            <w:pPr>
              <w:pStyle w:val="Compact"/>
            </w:pPr>
            <w:r>
              <w:t xml:space="preserve">0.716</w:t>
            </w:r>
          </w:p>
        </w:tc>
        <w:tc>
          <w:tcPr/>
          <w:p>
            <w:pPr>
              <w:pStyle w:val="Compact"/>
            </w:pPr>
            <w:r>
              <w:t xml:space="preserve">0.935</w:t>
            </w:r>
          </w:p>
        </w:tc>
        <w:tc>
          <w:tcPr/>
          <w:p>
            <w:pPr>
              <w:pStyle w:val="Compact"/>
            </w:pPr>
            <w:r>
              <w:t xml:space="preserve">0.864</w:t>
            </w:r>
          </w:p>
        </w:tc>
      </w:tr>
      <w:tr>
        <w:tc>
          <w:tcPr/>
          <w:p>
            <w:pPr>
              <w:pStyle w:val="Compact"/>
            </w:pPr>
            <w:r>
              <w:t xml:space="preserve">10</w:t>
            </w:r>
          </w:p>
        </w:tc>
        <w:tc>
          <w:tcPr/>
          <w:p>
            <w:pPr>
              <w:pStyle w:val="Compact"/>
            </w:pPr>
            <w:r>
              <w:t xml:space="preserve">0.717</w:t>
            </w:r>
          </w:p>
        </w:tc>
        <w:tc>
          <w:tcPr/>
          <w:p>
            <w:pPr>
              <w:pStyle w:val="Compact"/>
            </w:pPr>
            <w:r>
              <w:t xml:space="preserve">0.937</w:t>
            </w:r>
          </w:p>
        </w:tc>
        <w:tc>
          <w:tcPr/>
          <w:p>
            <w:pPr>
              <w:pStyle w:val="Compact"/>
            </w:pPr>
            <w:r>
              <w:t xml:space="preserve">0.864</w:t>
            </w:r>
          </w:p>
        </w:tc>
      </w:tr>
      <w:tr>
        <w:tc>
          <w:tcPr/>
          <w:p>
            <w:pPr>
              <w:pStyle w:val="Compact"/>
            </w:pPr>
            <w:r>
              <w:t xml:space="preserve">26 (all </w:t>
            </w:r>
            <w:r>
              <w:rPr>
                <w:rFonts w:hint="eastAsia"/>
              </w:rPr>
              <w:t xml:space="preserve">全部)</w:t>
            </w:r>
          </w:p>
        </w:tc>
        <w:tc>
          <w:tcPr/>
          <w:p>
            <w:pPr>
              <w:pStyle w:val="Compact"/>
            </w:pPr>
            <w:r>
              <w:t xml:space="preserve">0.721</w:t>
            </w:r>
          </w:p>
        </w:tc>
        <w:tc>
          <w:tcPr/>
          <w:p>
            <w:pPr>
              <w:pStyle w:val="Compact"/>
            </w:pPr>
            <w:r>
              <w:t xml:space="preserve">0.938</w:t>
            </w:r>
          </w:p>
        </w:tc>
        <w:tc>
          <w:tcPr/>
          <w:p>
            <w:pPr>
              <w:pStyle w:val="Compact"/>
            </w:pPr>
            <w:r>
              <w:t xml:space="preserve">0.867</w:t>
            </w:r>
          </w:p>
        </w:tc>
      </w:tr>
    </w:tbl>
    <w:bookmarkEnd w:id="43"/>
    <w:bookmarkStart w:id="45" w:name="X9fe3960c45fe67394a52586c7b830b8d2f49382"/>
    <w:p>
      <w:pPr>
        <w:pStyle w:val="Heading3"/>
      </w:pPr>
      <w:r>
        <w:t xml:space="preserve">3.5 Robustness: class imbalance and data filtering</w:t>
      </w:r>
    </w:p>
    <w:p>
      <w:pPr>
        <w:pStyle w:val="Heading3"/>
      </w:pPr>
      <w:bookmarkStart w:id="44" w:name="X3df65894170b66cf540f241bec247fb702c2100"/>
      <w:r>
        <w:t xml:space="preserve">3.5 </w:t>
      </w:r>
      <w:r>
        <w:rPr>
          <w:rFonts w:hint="eastAsia"/>
        </w:rPr>
        <w:t xml:space="preserve">穩健性：類別不平衡與資料篩選</w:t>
      </w:r>
      <w:bookmarkEnd w:id="44"/>
    </w:p>
    <w:p>
      <w:pPr>
        <w:pStyle w:val="FirstParagraph"/>
      </w:pPr>
      <w:r>
        <w:t xml:space="preserve">Across five imbalance strategies, AUC varied by &lt;0.2% while sensitivity rose from 0.04–0.34 to 0.70–0.88 (Table 8). Strategies differed by &lt;2% in sensitivity; class-weight is the simplest practical choice. Excluding windows already diagnosed at Y−2 changed AUC by ≤1.3% with no consistent direction, confirming that retaining all windows does not bias results.</w:t>
      </w:r>
    </w:p>
    <w:p>
      <w:pPr>
        <w:pStyle w:val="BlockText"/>
      </w:pPr>
      <w:r>
        <w:rPr>
          <w:rFonts w:hint="eastAsia"/>
        </w:rPr>
        <w:t xml:space="preserve">五種不平衡策略中，AUC</w:t>
      </w:r>
      <w:r>
        <w:t xml:space="preserve"> </w:t>
      </w:r>
      <w:r>
        <w:rPr>
          <w:rFonts w:hint="eastAsia"/>
        </w:rPr>
        <w:t xml:space="preserve">變動</w:t>
      </w:r>
      <w:r>
        <w:t xml:space="preserve"> </w:t>
      </w:r>
      <w:r>
        <w:rPr>
          <w:rFonts w:hint="eastAsia"/>
        </w:rPr>
        <w:t xml:space="preserve">&lt;0.2%，敏感度則由</w:t>
      </w:r>
      <w:r>
        <w:t xml:space="preserve"> 0.04–0.34 </w:t>
      </w:r>
      <w:r>
        <w:rPr>
          <w:rFonts w:hint="eastAsia"/>
        </w:rPr>
        <w:t xml:space="preserve">提升至</w:t>
      </w:r>
      <w:r>
        <w:t xml:space="preserve"> </w:t>
      </w:r>
      <w:r>
        <w:rPr>
          <w:rFonts w:hint="eastAsia"/>
        </w:rPr>
        <w:t xml:space="preserve">0.70–0.88（表</w:t>
      </w:r>
      <w:r>
        <w:t xml:space="preserve"> </w:t>
      </w:r>
      <w:r>
        <w:rPr>
          <w:rFonts w:hint="eastAsia"/>
        </w:rPr>
        <w:t xml:space="preserve">8）。各策略敏感度差異</w:t>
      </w:r>
      <w:r>
        <w:t xml:space="preserve"> </w:t>
      </w:r>
      <w:r>
        <w:rPr>
          <w:rFonts w:hint="eastAsia"/>
        </w:rPr>
        <w:t xml:space="preserve">&lt;2%，class_weight</w:t>
      </w:r>
      <w:r>
        <w:t xml:space="preserve"> </w:t>
      </w:r>
      <w:r>
        <w:rPr>
          <w:rFonts w:hint="eastAsia"/>
        </w:rPr>
        <w:t xml:space="preserve">為最簡便的實務選擇。排除</w:t>
      </w:r>
      <w:r>
        <w:t xml:space="preserve"> Y−2 </w:t>
      </w:r>
      <w:r>
        <w:rPr>
          <w:rFonts w:hint="eastAsia"/>
        </w:rPr>
        <w:t xml:space="preserve">已確診的窗口使</w:t>
      </w:r>
      <w:r>
        <w:t xml:space="preserve"> AUC </w:t>
      </w:r>
      <w:r>
        <w:rPr>
          <w:rFonts w:hint="eastAsia"/>
        </w:rPr>
        <w:t xml:space="preserve">變動</w:t>
      </w:r>
      <w:r>
        <w:t xml:space="preserve"> ≤1.3% </w:t>
      </w:r>
      <w:r>
        <w:rPr>
          <w:rFonts w:hint="eastAsia"/>
        </w:rPr>
        <w:t xml:space="preserve">且無一致方向，證實保留全部窗口不致偏誤。</w:t>
      </w:r>
    </w:p>
    <w:p>
      <w:pPr>
        <w:pStyle w:val="FirstParagraph"/>
      </w:pPr>
      <w:r>
        <w:rPr>
          <w:b/>
          <w:bCs/>
        </w:rPr>
        <w:t xml:space="preserve">Table 8. Imbalance handling, LR (sensitivity). </w:t>
      </w:r>
      <w:r>
        <w:rPr>
          <w:rFonts w:hint="eastAsia"/>
          <w:b/>
          <w:bCs/>
        </w:rPr>
        <w:t xml:space="preserve">表</w:t>
      </w:r>
      <w:r>
        <w:rPr>
          <w:b/>
          <w:bCs/>
        </w:rPr>
        <w:t xml:space="preserve"> 8　</w:t>
      </w:r>
      <w:r>
        <w:rPr>
          <w:rFonts w:hint="eastAsia"/>
          <w:b/>
          <w:bCs/>
        </w:rPr>
        <w:t xml:space="preserve">不平衡處理，LR（敏感度）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Disease </w:t>
            </w:r>
            <w:r>
              <w:rPr>
                <w:rFonts w:hint="eastAsia"/>
              </w:rPr>
              <w:t xml:space="preserve">疾病</w:t>
            </w:r>
          </w:p>
        </w:tc>
        <w:tc>
          <w:tcPr/>
          <w:p>
            <w:pPr>
              <w:pStyle w:val="Compact"/>
            </w:pPr>
            <w:r>
              <w:t xml:space="preserve">Baseline </w:t>
            </w:r>
            <w:r>
              <w:rPr>
                <w:rFonts w:hint="eastAsia"/>
              </w:rPr>
              <w:t xml:space="preserve">無處理</w:t>
            </w:r>
          </w:p>
        </w:tc>
        <w:tc>
          <w:tcPr/>
          <w:p>
            <w:pPr>
              <w:pStyle w:val="Compact"/>
            </w:pPr>
            <w:r>
              <w:t xml:space="preserve">class-weight</w:t>
            </w:r>
          </w:p>
        </w:tc>
        <w:tc>
          <w:tcPr/>
          <w:p>
            <w:pPr>
              <w:pStyle w:val="Compact"/>
            </w:pPr>
            <w:r>
              <w:t xml:space="preserve">SMOTE</w:t>
            </w:r>
          </w:p>
        </w:tc>
        <w:tc>
          <w:tcPr/>
          <w:p>
            <w:pPr>
              <w:pStyle w:val="Compact"/>
            </w:pPr>
            <w:r>
              <w:t xml:space="preserve">ADASYN</w:t>
            </w:r>
          </w:p>
        </w:tc>
        <w:tc>
          <w:tcPr/>
          <w:p>
            <w:pPr>
              <w:pStyle w:val="Compact"/>
            </w:pPr>
            <w:r>
              <w:t xml:space="preserve">Under-sample </w:t>
            </w:r>
            <w:r>
              <w:rPr>
                <w:rFonts w:hint="eastAsia"/>
              </w:rPr>
              <w:t xml:space="preserve">欠採樣</w:t>
            </w:r>
          </w:p>
        </w:tc>
      </w:tr>
      <w:tr>
        <w:tc>
          <w:tcPr/>
          <w:p>
            <w:pPr>
              <w:pStyle w:val="Compact"/>
            </w:pPr>
            <w:r>
              <w:t xml:space="preserve">HTN </w:t>
            </w:r>
            <w:r>
              <w:rPr>
                <w:rFonts w:hint="eastAsia"/>
              </w:rPr>
              <w:t xml:space="preserve">高血壓</w:t>
            </w:r>
          </w:p>
        </w:tc>
        <w:tc>
          <w:tcPr/>
          <w:p>
            <w:pPr>
              <w:pStyle w:val="Compact"/>
            </w:pPr>
            <w:r>
              <w:t xml:space="preserve">0.041</w:t>
            </w:r>
          </w:p>
        </w:tc>
        <w:tc>
          <w:tcPr/>
          <w:p>
            <w:pPr>
              <w:pStyle w:val="Compact"/>
            </w:pPr>
            <w:r>
              <w:t xml:space="preserve">0.698</w:t>
            </w:r>
          </w:p>
        </w:tc>
        <w:tc>
          <w:tcPr/>
          <w:p>
            <w:pPr>
              <w:pStyle w:val="Compact"/>
            </w:pPr>
            <w:r>
              <w:t xml:space="preserve">0.698</w:t>
            </w:r>
          </w:p>
        </w:tc>
        <w:tc>
          <w:tcPr/>
          <w:p>
            <w:pPr>
              <w:pStyle w:val="Compact"/>
            </w:pPr>
            <w:r>
              <w:t xml:space="preserve">0.696</w:t>
            </w:r>
          </w:p>
        </w:tc>
        <w:tc>
          <w:tcPr/>
          <w:p>
            <w:pPr>
              <w:pStyle w:val="Compact"/>
            </w:pPr>
            <w:r>
              <w:t xml:space="preserve">0.699</w:t>
            </w:r>
          </w:p>
        </w:tc>
      </w:tr>
      <w:tr>
        <w:tc>
          <w:tcPr/>
          <w:p>
            <w:pPr>
              <w:pStyle w:val="Compact"/>
            </w:pPr>
            <w:r>
              <w:t xml:space="preserve">HG </w:t>
            </w:r>
            <w:r>
              <w:rPr>
                <w:rFonts w:hint="eastAsia"/>
              </w:rPr>
              <w:t xml:space="preserve">高血糖</w:t>
            </w:r>
          </w:p>
        </w:tc>
        <w:tc>
          <w:tcPr/>
          <w:p>
            <w:pPr>
              <w:pStyle w:val="Compact"/>
            </w:pPr>
            <w:r>
              <w:t xml:space="preserve">0.335</w:t>
            </w:r>
          </w:p>
        </w:tc>
        <w:tc>
          <w:tcPr/>
          <w:p>
            <w:pPr>
              <w:pStyle w:val="Compact"/>
            </w:pPr>
            <w:r>
              <w:t xml:space="preserve">0.861</w:t>
            </w:r>
          </w:p>
        </w:tc>
        <w:tc>
          <w:tcPr/>
          <w:p>
            <w:pPr>
              <w:pStyle w:val="Compact"/>
            </w:pPr>
            <w:r>
              <w:t xml:space="preserve">0.852</w:t>
            </w:r>
          </w:p>
        </w:tc>
        <w:tc>
          <w:tcPr/>
          <w:p>
            <w:pPr>
              <w:pStyle w:val="Compact"/>
            </w:pPr>
            <w:r>
              <w:t xml:space="preserve">0.877</w:t>
            </w:r>
          </w:p>
        </w:tc>
        <w:tc>
          <w:tcPr/>
          <w:p>
            <w:pPr>
              <w:pStyle w:val="Compact"/>
            </w:pPr>
            <w:r>
              <w:t xml:space="preserve">0.864</w:t>
            </w:r>
          </w:p>
        </w:tc>
      </w:tr>
      <w:tr>
        <w:tc>
          <w:tcPr/>
          <w:p>
            <w:pPr>
              <w:pStyle w:val="Compact"/>
            </w:pPr>
            <w:r>
              <w:t xml:space="preserve">DL </w:t>
            </w:r>
            <w:r>
              <w:rPr>
                <w:rFonts w:hint="eastAsia"/>
              </w:rPr>
              <w:t xml:space="preserve">高血脂</w:t>
            </w:r>
          </w:p>
        </w:tc>
        <w:tc>
          <w:tcPr/>
          <w:p>
            <w:pPr>
              <w:pStyle w:val="Compact"/>
            </w:pPr>
            <w:r>
              <w:t xml:space="preserve">0.135</w:t>
            </w:r>
          </w:p>
        </w:tc>
        <w:tc>
          <w:tcPr/>
          <w:p>
            <w:pPr>
              <w:pStyle w:val="Compact"/>
            </w:pPr>
            <w:r>
              <w:t xml:space="preserve">0.791</w:t>
            </w:r>
          </w:p>
        </w:tc>
        <w:tc>
          <w:tcPr/>
          <w:p>
            <w:pPr>
              <w:pStyle w:val="Compact"/>
            </w:pPr>
            <w:r>
              <w:t xml:space="preserve">0.785</w:t>
            </w:r>
          </w:p>
        </w:tc>
        <w:tc>
          <w:tcPr/>
          <w:p>
            <w:pPr>
              <w:pStyle w:val="Compact"/>
            </w:pPr>
            <w:r>
              <w:t xml:space="preserve">0.794</w:t>
            </w:r>
          </w:p>
        </w:tc>
        <w:tc>
          <w:tcPr/>
          <w:p>
            <w:pPr>
              <w:pStyle w:val="Compact"/>
            </w:pPr>
            <w:r>
              <w:t xml:space="preserve">0.790</w:t>
            </w:r>
          </w:p>
        </w:tc>
      </w:tr>
    </w:tbl>
    <w:bookmarkEnd w:id="45"/>
    <w:bookmarkStart w:id="47" w:name="X988eb4f340c1d23fc6cbe8d6dde48a9cbd89746"/>
    <w:p>
      <w:pPr>
        <w:pStyle w:val="Heading3"/>
      </w:pPr>
      <w:r>
        <w:t xml:space="preserve">3.6 Longitudinal accumulation and per-time-point power</w:t>
      </w:r>
    </w:p>
    <w:p>
      <w:pPr>
        <w:pStyle w:val="Heading3"/>
      </w:pPr>
      <w:bookmarkStart w:id="46" w:name="X6aaf8dcfb0e77fe7195adf4646e46fad3730481"/>
      <w:r>
        <w:t xml:space="preserve">3.6 </w:t>
      </w:r>
      <w:r>
        <w:rPr>
          <w:rFonts w:hint="eastAsia"/>
        </w:rPr>
        <w:t xml:space="preserve">縱向累積與各時間點預測力</w:t>
      </w:r>
      <w:bookmarkEnd w:id="46"/>
    </w:p>
    <w:p>
      <w:pPr>
        <w:pStyle w:val="FirstParagraph"/>
      </w:pPr>
      <w:r>
        <w:t xml:space="preserve">Increasing historical checkups (same 2,526 participants) raised hyperglycemia/dyslipidemia only slightly (~1.4–1.5%), but hypertension jumped from ~0.67 (one checkup) to 0.835 (four)—concentrated at the earliest checkup. Per-time-point analysis confirmed this: for hyperglycemia/dyslipidemia the most recent visit was most predictive (declining with distance), but for hypertension the</w:t>
      </w:r>
      <w:r>
        <w:t xml:space="preserve"> </w:t>
      </w:r>
      <w:r>
        <w:rPr>
          <w:i/>
          <w:iCs/>
        </w:rPr>
        <w:t xml:space="preserve">earliest</w:t>
      </w:r>
      <w:r>
        <w:t xml:space="preserve"> </w:t>
      </w:r>
      <w:r>
        <w:t xml:space="preserve">visit (T1) reached AUC 0.786, far above T2–T4 (0.627–0.666). We hypothesize this reflects enrollment screening (excluding baseline hypertensives leaves T1 as a drug-naïve baseline) plus later antihypertensive treatment suppressing measured pressure without removing risk; blood-pressure drugs act fast and are frequently titrated, whereas lipid/glucose drugs perturb measurements more gradually. The dataset lacks medication records, so this remains a hypothesis.</w:t>
      </w:r>
    </w:p>
    <w:p>
      <w:pPr>
        <w:pStyle w:val="BlockText"/>
      </w:pPr>
      <w:r>
        <w:rPr>
          <w:rFonts w:hint="eastAsia"/>
        </w:rPr>
        <w:t xml:space="preserve">增加歷史健檢次數（同一批</w:t>
      </w:r>
      <w:r>
        <w:t xml:space="preserve"> 2,526 </w:t>
      </w:r>
      <w:r>
        <w:rPr>
          <w:rFonts w:hint="eastAsia"/>
        </w:rPr>
        <w:t xml:space="preserve">人）僅使高血糖/高血脂略升（~1.4–1.5%），但高血壓由</w:t>
      </w:r>
      <w:r>
        <w:t xml:space="preserve"> </w:t>
      </w:r>
      <w:r>
        <w:rPr>
          <w:rFonts w:hint="eastAsia"/>
        </w:rPr>
        <w:t xml:space="preserve">~0.67（一次）跳升至</w:t>
      </w:r>
      <w:r>
        <w:t xml:space="preserve"> </w:t>
      </w:r>
      <w:r>
        <w:rPr>
          <w:rFonts w:hint="eastAsia"/>
        </w:rPr>
        <w:t xml:space="preserve">0.835（四次）——增幅集中於最早一次。各時間點分析印證此點：高血糖/高血脂以最近一次最具預測力（隨距離遞減），但高血壓以</w:t>
      </w:r>
      <w:r>
        <w:rPr>
          <w:rFonts w:hint="eastAsia"/>
          <w:i/>
          <w:iCs/>
        </w:rPr>
        <w:t xml:space="preserve">最早</w:t>
      </w:r>
      <w:r>
        <w:rPr>
          <w:rFonts w:hint="eastAsia"/>
        </w:rPr>
        <w:t xml:space="preserve">一次（T1）達</w:t>
      </w:r>
      <w:r>
        <w:t xml:space="preserve"> AUC </w:t>
      </w:r>
      <w:r>
        <w:rPr>
          <w:rFonts w:hint="eastAsia"/>
        </w:rPr>
        <w:t xml:space="preserve">0.786，遠高於</w:t>
      </w:r>
      <w:r>
        <w:t xml:space="preserve"> </w:t>
      </w:r>
      <w:r>
        <w:rPr>
          <w:rFonts w:hint="eastAsia"/>
        </w:rPr>
        <w:t xml:space="preserve">T2–T4（0.627–0.666）。我們推測此反映入組篩選（排除基線高血壓者使</w:t>
      </w:r>
      <w:r>
        <w:t xml:space="preserve"> T1 </w:t>
      </w:r>
      <w:r>
        <w:rPr>
          <w:rFonts w:hint="eastAsia"/>
        </w:rPr>
        <w:t xml:space="preserve">為未用藥基線）加上後續降壓治療壓低量測值卻未消除風險；降壓藥見效快且常調整劑量，而降血脂/降血糖藥對量測值的干擾較緩。資料集缺乏用藥紀錄，故此為待驗證假說。</w:t>
      </w:r>
    </w:p>
    <w:bookmarkEnd w:id="47"/>
    <w:bookmarkStart w:id="49" w:name="Xa917cd1ad68f42da8173291325f1d75631c7dfe"/>
    <w:p>
      <w:pPr>
        <w:pStyle w:val="Heading3"/>
      </w:pPr>
      <w:r>
        <w:t xml:space="preserve">3.7 Multi-task vs single-task learning</w:t>
      </w:r>
    </w:p>
    <w:p>
      <w:pPr>
        <w:pStyle w:val="Heading3"/>
      </w:pPr>
      <w:bookmarkStart w:id="48" w:name="X59d595033bdb04d0b221407de85f6cff0ef7bf9"/>
      <w:r>
        <w:t xml:space="preserve">3.7 </w:t>
      </w:r>
      <w:r>
        <w:rPr>
          <w:rFonts w:hint="eastAsia"/>
        </w:rPr>
        <w:t xml:space="preserve">多任務</w:t>
      </w:r>
      <w:r>
        <w:t xml:space="preserve"> vs </w:t>
      </w:r>
      <w:r>
        <w:rPr>
          <w:rFonts w:hint="eastAsia"/>
        </w:rPr>
        <w:t xml:space="preserve">單任務學習</w:t>
      </w:r>
      <w:bookmarkEnd w:id="48"/>
    </w:p>
    <w:p>
      <w:pPr>
        <w:pStyle w:val="FirstParagraph"/>
      </w:pPr>
      <w:r>
        <w:t xml:space="preserve">A multi-task MLP (shared 64→32 trunk, three heads) matched three single-task MLPs within ≤0.8% AUC, using 3,907 vs 11,523 parameters (66% fewer) and training ~1.4× faster (11.0 vs 15.9 s/fold). Weak label correlation (Phi &lt;0.1) and unequal task difficulty likely dilute shared representations. Given comparable accuracy and simpler design, single-task models were used for the main experiments.</w:t>
      </w:r>
    </w:p>
    <w:p>
      <w:pPr>
        <w:pStyle w:val="BlockText"/>
      </w:pPr>
      <w:r>
        <w:rPr>
          <w:rFonts w:hint="eastAsia"/>
        </w:rPr>
        <w:t xml:space="preserve">多任務</w:t>
      </w:r>
      <w:r>
        <w:t xml:space="preserve"> </w:t>
      </w:r>
      <w:r>
        <w:rPr>
          <w:rFonts w:hint="eastAsia"/>
        </w:rPr>
        <w:t xml:space="preserve">MLP（共享</w:t>
      </w:r>
      <w:r>
        <w:t xml:space="preserve"> 64→32 </w:t>
      </w:r>
      <w:r>
        <w:rPr>
          <w:rFonts w:hint="eastAsia"/>
        </w:rPr>
        <w:t xml:space="preserve">主幹、三個輸出頭）與三個單任務</w:t>
      </w:r>
      <w:r>
        <w:t xml:space="preserve"> MLP </w:t>
      </w:r>
      <w:r>
        <w:rPr>
          <w:rFonts w:hint="eastAsia"/>
        </w:rPr>
        <w:t xml:space="preserve">的</w:t>
      </w:r>
      <w:r>
        <w:t xml:space="preserve"> AUC </w:t>
      </w:r>
      <w:r>
        <w:rPr>
          <w:rFonts w:hint="eastAsia"/>
        </w:rPr>
        <w:t xml:space="preserve">差距</w:t>
      </w:r>
      <w:r>
        <w:t xml:space="preserve"> </w:t>
      </w:r>
      <w:r>
        <w:rPr>
          <w:rFonts w:hint="eastAsia"/>
        </w:rPr>
        <w:t xml:space="preserve">≤0.8%，參數量</w:t>
      </w:r>
      <w:r>
        <w:t xml:space="preserve"> 3,907 vs </w:t>
      </w:r>
      <w:r>
        <w:rPr>
          <w:rFonts w:hint="eastAsia"/>
        </w:rPr>
        <w:t xml:space="preserve">11,523（少</w:t>
      </w:r>
      <w:r>
        <w:t xml:space="preserve"> </w:t>
      </w:r>
      <w:r>
        <w:rPr>
          <w:rFonts w:hint="eastAsia"/>
        </w:rPr>
        <w:t xml:space="preserve">66%），訓練快約</w:t>
      </w:r>
      <w:r>
        <w:t xml:space="preserve"> 1.4 </w:t>
      </w:r>
      <w:r>
        <w:rPr>
          <w:rFonts w:hint="eastAsia"/>
        </w:rPr>
        <w:t xml:space="preserve">倍（每折</w:t>
      </w:r>
      <w:r>
        <w:t xml:space="preserve"> 11.0 vs 15.9 </w:t>
      </w:r>
      <w:r>
        <w:rPr>
          <w:rFonts w:hint="eastAsia"/>
        </w:rPr>
        <w:t xml:space="preserve">秒）。標籤相關性弱（Phi</w:t>
      </w:r>
      <w:r>
        <w:t xml:space="preserve"> </w:t>
      </w:r>
      <w:r>
        <w:rPr>
          <w:rFonts w:hint="eastAsia"/>
        </w:rPr>
        <w:t xml:space="preserve">&lt;0.1）與任務難度不均可能稀釋共享表徵。鑑於準確度相當且架構更簡單，主要實驗採單任務模型。</w:t>
      </w:r>
    </w:p>
    <w:bookmarkEnd w:id="49"/>
    <w:bookmarkStart w:id="51" w:name="X48b5d41f798f58fa4e6f9390a3b8d45016336dc"/>
    <w:p>
      <w:pPr>
        <w:pStyle w:val="Heading3"/>
      </w:pPr>
      <w:r>
        <w:t xml:space="preserve">3.8 Symbolic regression</w:t>
      </w:r>
    </w:p>
    <w:p>
      <w:pPr>
        <w:pStyle w:val="Heading3"/>
      </w:pPr>
      <w:bookmarkStart w:id="50" w:name="X8a06934050bcd87bc7829aa36896ab5df482b93"/>
      <w:r>
        <w:t xml:space="preserve">3.8 </w:t>
      </w:r>
      <w:r>
        <w:rPr>
          <w:rFonts w:hint="eastAsia"/>
        </w:rPr>
        <w:t xml:space="preserve">符號回歸</w:t>
      </w:r>
      <w:bookmarkEnd w:id="50"/>
    </w:p>
    <w:p>
      <w:pPr>
        <w:pStyle w:val="FirstParagraph"/>
      </w:pPr>
      <w:r>
        <w:t xml:space="preserve">PySR discovered compact formulas, each depending on a single feature coinciding with the top SHAP feature (Table 9). The hyperglycemia formula, 0.114 × FBG_(Y−1), reached AUC 0.943—slightly above XGBoost—and was the most stable (all five folds converged; 5-fold AUC 0.918 ± 0.016). The hypertension and dyslipidemia formulas used exponential terms but were unstable, degenerating to constant solutions in 3 of 5 folds. We position symbolic regression as exploratory: clinically intuitive and, for hyperglycemia, robustly reproducible, but not yet a stand-alone tool for the other two.</w:t>
      </w:r>
    </w:p>
    <w:p>
      <w:pPr>
        <w:pStyle w:val="BlockText"/>
      </w:pPr>
      <w:r>
        <w:t xml:space="preserve">PySR </w:t>
      </w:r>
      <w:r>
        <w:rPr>
          <w:rFonts w:hint="eastAsia"/>
        </w:rPr>
        <w:t xml:space="preserve">發現了極簡公式，各自僅依賴一個與最高</w:t>
      </w:r>
      <w:r>
        <w:t xml:space="preserve"> SHAP </w:t>
      </w:r>
      <w:r>
        <w:rPr>
          <w:rFonts w:hint="eastAsia"/>
        </w:rPr>
        <w:t xml:space="preserve">特徵一致的特徵（表</w:t>
      </w:r>
      <w:r>
        <w:t xml:space="preserve"> </w:t>
      </w:r>
      <w:r>
        <w:rPr>
          <w:rFonts w:hint="eastAsia"/>
        </w:rPr>
        <w:t xml:space="preserve">9）。高血糖公式</w:t>
      </w:r>
      <w:r>
        <w:t xml:space="preserve"> 0.114 × FBG_(Y−1) </w:t>
      </w:r>
      <w:r>
        <w:rPr>
          <w:rFonts w:hint="eastAsia"/>
        </w:rPr>
        <w:t xml:space="preserve">達</w:t>
      </w:r>
      <w:r>
        <w:t xml:space="preserve"> AUC </w:t>
      </w:r>
      <w:r>
        <w:rPr>
          <w:rFonts w:hint="eastAsia"/>
        </w:rPr>
        <w:t xml:space="preserve">0.943——略高於</w:t>
      </w:r>
      <w:r>
        <w:t xml:space="preserve"> </w:t>
      </w:r>
      <w:r>
        <w:rPr>
          <w:rFonts w:hint="eastAsia"/>
        </w:rPr>
        <w:t xml:space="preserve">XGBoost——且最穩定（五折皆收斂；5</w:t>
      </w:r>
      <w:r>
        <w:t xml:space="preserve"> </w:t>
      </w:r>
      <w:r>
        <w:rPr>
          <w:rFonts w:hint="eastAsia"/>
        </w:rPr>
        <w:t xml:space="preserve">折</w:t>
      </w:r>
      <w:r>
        <w:t xml:space="preserve"> AUC 0.918 ± </w:t>
      </w:r>
      <w:r>
        <w:rPr>
          <w:rFonts w:hint="eastAsia"/>
        </w:rPr>
        <w:t xml:space="preserve">0.016）。高血壓與高血脂公式使用指數項但不穩定，五折中有三折退化為常數解。我們將符號回歸定位為探索性：臨床直覺強、對高血糖可穩定重現，但尚不適合作為其餘兩項疾病的獨立工具。</w:t>
      </w:r>
    </w:p>
    <w:p>
      <w:pPr>
        <w:pStyle w:val="FirstParagraph"/>
      </w:pPr>
      <w:r>
        <w:rPr>
          <w:b/>
          <w:bCs/>
        </w:rPr>
        <w:t xml:space="preserve">Table 9. Best symbolic-regression formulas. </w:t>
      </w:r>
      <w:r>
        <w:rPr>
          <w:rFonts w:hint="eastAsia"/>
          <w:b/>
          <w:bCs/>
        </w:rPr>
        <w:t xml:space="preserve">表</w:t>
      </w:r>
      <w:r>
        <w:rPr>
          <w:b/>
          <w:bCs/>
        </w:rPr>
        <w:t xml:space="preserve"> 9　</w:t>
      </w:r>
      <w:r>
        <w:rPr>
          <w:rFonts w:hint="eastAsia"/>
          <w:b/>
          <w:bCs/>
        </w:rPr>
        <w:t xml:space="preserve">最佳符號回歸公式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Disease </w:t>
            </w:r>
            <w:r>
              <w:rPr>
                <w:rFonts w:hint="eastAsia"/>
              </w:rPr>
              <w:t xml:space="preserve">疾病</w:t>
            </w:r>
          </w:p>
        </w:tc>
        <w:tc>
          <w:tcPr/>
          <w:p>
            <w:pPr>
              <w:pStyle w:val="Compact"/>
            </w:pPr>
            <w:r>
              <w:t xml:space="preserve">Formula </w:t>
            </w:r>
            <w:r>
              <w:rPr>
                <w:rFonts w:hint="eastAsia"/>
              </w:rPr>
              <w:t xml:space="preserve">公式</w:t>
            </w:r>
          </w:p>
        </w:tc>
        <w:tc>
          <w:tcPr/>
          <w:p>
            <w:pPr>
              <w:pStyle w:val="Compact"/>
            </w:pPr>
            <w:r>
              <w:t xml:space="preserve">AUC</w:t>
            </w:r>
          </w:p>
        </w:tc>
        <w:tc>
          <w:tcPr/>
          <w:p>
            <w:pPr>
              <w:pStyle w:val="Compact"/>
            </w:pPr>
            <w:r>
              <w:t xml:space="preserve">5-fold stability </w:t>
            </w:r>
            <w:r>
              <w:rPr>
                <w:rFonts w:hint="eastAsia"/>
              </w:rPr>
              <w:t xml:space="preserve">五折穩定性</w:t>
            </w:r>
          </w:p>
        </w:tc>
      </w:tr>
      <w:tr>
        <w:tc>
          <w:tcPr/>
          <w:p>
            <w:pPr>
              <w:pStyle w:val="Compact"/>
            </w:pPr>
            <w:r>
              <w:t xml:space="preserve">HTN </w:t>
            </w:r>
            <w:r>
              <w:rPr>
                <w:rFonts w:hint="eastAsia"/>
              </w:rPr>
              <w:t xml:space="preserve">高血壓</w:t>
            </w:r>
          </w:p>
        </w:tc>
        <w:tc>
          <w:tcPr/>
          <w:p>
            <w:pPr>
              <w:pStyle w:val="Compact"/>
            </w:pPr>
            <w:r>
              <w:t xml:space="preserve">0.130 × exp(SBP_(Y−2))</w:t>
            </w:r>
          </w:p>
        </w:tc>
        <w:tc>
          <w:tcPr/>
          <w:p>
            <w:pPr>
              <w:pStyle w:val="Compact"/>
            </w:pPr>
            <w:r>
              <w:t xml:space="preserve">0.745</w:t>
            </w:r>
          </w:p>
        </w:tc>
        <w:tc>
          <w:tcPr/>
          <w:p>
            <w:pPr>
              <w:pStyle w:val="Compact"/>
            </w:pPr>
            <w:r>
              <w:t xml:space="preserve">2/5 valid; 0.580 ± 0.110</w:t>
            </w:r>
          </w:p>
        </w:tc>
      </w:tr>
      <w:tr>
        <w:tc>
          <w:tcPr/>
          <w:p>
            <w:pPr>
              <w:pStyle w:val="Compact"/>
            </w:pPr>
            <w:r>
              <w:t xml:space="preserve">HG </w:t>
            </w:r>
            <w:r>
              <w:rPr>
                <w:rFonts w:hint="eastAsia"/>
              </w:rPr>
              <w:t xml:space="preserve">高血糖</w:t>
            </w:r>
          </w:p>
        </w:tc>
        <w:tc>
          <w:tcPr/>
          <w:p>
            <w:pPr>
              <w:pStyle w:val="Compact"/>
            </w:pPr>
            <w:r>
              <w:t xml:space="preserve">0.114 × FBG_(Y−1)</w:t>
            </w:r>
          </w:p>
        </w:tc>
        <w:tc>
          <w:tcPr/>
          <w:p>
            <w:pPr>
              <w:pStyle w:val="Compact"/>
            </w:pPr>
            <w:r>
              <w:t xml:space="preserve">0.943</w:t>
            </w:r>
          </w:p>
        </w:tc>
        <w:tc>
          <w:tcPr/>
          <w:p>
            <w:pPr>
              <w:pStyle w:val="Compact"/>
            </w:pPr>
            <w:r>
              <w:t xml:space="preserve">5/5; 0.918 ± 0.016</w:t>
            </w:r>
          </w:p>
        </w:tc>
      </w:tr>
      <w:tr>
        <w:tc>
          <w:tcPr/>
          <w:p>
            <w:pPr>
              <w:pStyle w:val="Compact"/>
            </w:pPr>
            <w:r>
              <w:t xml:space="preserve">DL </w:t>
            </w:r>
            <w:r>
              <w:rPr>
                <w:rFonts w:hint="eastAsia"/>
              </w:rPr>
              <w:t xml:space="preserve">高血脂</w:t>
            </w:r>
          </w:p>
        </w:tc>
        <w:tc>
          <w:tcPr/>
          <w:p>
            <w:pPr>
              <w:pStyle w:val="Compact"/>
            </w:pPr>
            <w:r>
              <w:t xml:space="preserve">0.043 × exp(TC_(Y−2))</w:t>
            </w:r>
          </w:p>
        </w:tc>
        <w:tc>
          <w:tcPr/>
          <w:p>
            <w:pPr>
              <w:pStyle w:val="Compact"/>
            </w:pPr>
            <w:r>
              <w:t xml:space="preserve">0.801</w:t>
            </w:r>
          </w:p>
        </w:tc>
        <w:tc>
          <w:tcPr/>
          <w:p>
            <w:pPr>
              <w:pStyle w:val="Compact"/>
            </w:pPr>
            <w:r>
              <w:t xml:space="preserve">2/5 valid; 0.640 ± 0.192</w:t>
            </w:r>
          </w:p>
        </w:tc>
      </w:tr>
    </w:tbl>
    <w:p>
      <w:r>
        <w:pict>
          <v:rect style="width:0;height:1.5pt" o:hralign="center" o:hrstd="t" o:hr="t"/>
        </w:pict>
      </w:r>
    </w:p>
    <w:bookmarkEnd w:id="51"/>
    <w:bookmarkEnd w:id="52"/>
    <w:bookmarkStart w:id="66" w:name="X81a060a18a12739ffcbc529f09a725679a256cf"/>
    <w:p>
      <w:pPr>
        <w:pStyle w:val="Heading2"/>
      </w:pPr>
      <w:r>
        <w:t xml:space="preserve">4. Discussion</w:t>
      </w:r>
    </w:p>
    <w:p>
      <w:pPr>
        <w:pStyle w:val="Heading2"/>
      </w:pPr>
      <w:bookmarkStart w:id="53" w:name="Xfc3b5b1a787988ac57da31797b218c12b212075"/>
      <w:r>
        <w:t xml:space="preserve">4. </w:t>
      </w:r>
      <w:r>
        <w:rPr>
          <w:rFonts w:hint="eastAsia"/>
        </w:rPr>
        <w:t xml:space="preserve">討論</w:t>
      </w:r>
      <w:bookmarkEnd w:id="53"/>
    </w:p>
    <w:bookmarkStart w:id="55" w:name="X12e0f515890c009faeb26435428406961f3d78d"/>
    <w:p>
      <w:pPr>
        <w:pStyle w:val="Heading3"/>
      </w:pPr>
      <w:r>
        <w:t xml:space="preserve">4.1 Principal findings</w:t>
      </w:r>
    </w:p>
    <w:p>
      <w:pPr>
        <w:pStyle w:val="Heading3"/>
      </w:pPr>
      <w:bookmarkStart w:id="54" w:name="Xecf263d5f0c19a474ca0c5bca58a253412ccc67"/>
      <w:r>
        <w:t xml:space="preserve">4.1 </w:t>
      </w:r>
      <w:r>
        <w:rPr>
          <w:rFonts w:hint="eastAsia"/>
        </w:rPr>
        <w:t xml:space="preserve">主要發現</w:t>
      </w:r>
      <w:bookmarkEnd w:id="54"/>
    </w:p>
    <w:p>
      <w:pPr>
        <w:pStyle w:val="FirstParagraph"/>
      </w:pPr>
      <w:r>
        <w:t xml:space="preserve">Across ten classifiers and three conditions, logistic regression was the most consistent and best-generalizing model, matching or exceeding more complex methods on AUC while retaining a balanced sensitivity/specificity profile and negligible overfitting. This echoes the long-standing prominence of logistic regression in disease-prediction reviews [18] and carries a practical message: on structured checkup data, simple linear models already capture the core signal, and added complexity mainly increases overfitting risk. Tree ensembles can equal LR on test AUC (e.g., RF for hypertension) but memorize training data, making generalization less predictable.</w:t>
      </w:r>
    </w:p>
    <w:p>
      <w:pPr>
        <w:pStyle w:val="BlockText"/>
      </w:pPr>
      <w:r>
        <w:rPr>
          <w:rFonts w:hint="eastAsia"/>
        </w:rPr>
        <w:t xml:space="preserve">在十種分類器與三項疾病中，邏輯迴歸最穩定、泛化最佳，AUC</w:t>
      </w:r>
      <w:r>
        <w:t xml:space="preserve"> </w:t>
      </w:r>
      <w:r>
        <w:rPr>
          <w:rFonts w:hint="eastAsia"/>
        </w:rPr>
        <w:t xml:space="preserve">與更複雜方法相當或更優，同時維持敏感度/特異度平衡且幾乎無過擬合。此呼應邏輯迴歸在疾病預測回顧中長期居主流</w:t>
      </w:r>
      <w:r>
        <w:t xml:space="preserve"> </w:t>
      </w:r>
      <w:r>
        <w:rPr>
          <w:rFonts w:hint="eastAsia"/>
        </w:rPr>
        <w:t xml:space="preserve">[18]，並帶來實務訊息：在結構化健檢資料上，簡單線性模型已能掌握核心信號，增加複雜度主要徒增過擬合風險。樹集成在測試</w:t>
      </w:r>
      <w:r>
        <w:t xml:space="preserve"> AUC </w:t>
      </w:r>
      <w:r>
        <w:rPr>
          <w:rFonts w:hint="eastAsia"/>
        </w:rPr>
        <w:t xml:space="preserve">上可與</w:t>
      </w:r>
      <w:r>
        <w:t xml:space="preserve"> LR </w:t>
      </w:r>
      <w:r>
        <w:rPr>
          <w:rFonts w:hint="eastAsia"/>
        </w:rPr>
        <w:t xml:space="preserve">相當（如高血壓的</w:t>
      </w:r>
      <w:r>
        <w:t xml:space="preserve"> </w:t>
      </w:r>
      <w:r>
        <w:rPr>
          <w:rFonts w:hint="eastAsia"/>
        </w:rPr>
        <w:t xml:space="preserve">RF），但會記憶訓練資料，使泛化較不可預測。</w:t>
      </w:r>
    </w:p>
    <w:bookmarkEnd w:id="55"/>
    <w:bookmarkStart w:id="57" w:name="X88b588c3e7b26544bcbdbff7adb1fd1801f853c"/>
    <w:p>
      <w:pPr>
        <w:pStyle w:val="Heading3"/>
      </w:pPr>
      <w:r>
        <w:t xml:space="preserve">4.2 The dual role of delta features</w:t>
      </w:r>
    </w:p>
    <w:p>
      <w:pPr>
        <w:pStyle w:val="Heading3"/>
      </w:pPr>
      <w:bookmarkStart w:id="56" w:name="X1ab615342111f3bc090f63d274e773a0ea66939"/>
      <w:r>
        <w:t xml:space="preserve">4.2 Δ </w:t>
      </w:r>
      <w:r>
        <w:rPr>
          <w:rFonts w:hint="eastAsia"/>
        </w:rPr>
        <w:t xml:space="preserve">特徵的雙重角色</w:t>
      </w:r>
      <w:bookmarkEnd w:id="56"/>
    </w:p>
    <w:p>
      <w:pPr>
        <w:pStyle w:val="FirstParagraph"/>
      </w:pPr>
      <w:r>
        <w:t xml:space="preserve">Our ablation clarifies a frequently conflated point. Deltas are</w:t>
      </w:r>
      <w:r>
        <w:t xml:space="preserve"> </w:t>
      </w:r>
      <w:r>
        <w:rPr>
          <w:i/>
          <w:iCs/>
        </w:rPr>
        <w:t xml:space="preserve">predictively redundant</w:t>
      </w:r>
      <w:r>
        <w:t xml:space="preserve"> </w:t>
      </w:r>
      <w:r>
        <w:t xml:space="preserve">when both raw time points are available, yet carry</w:t>
      </w:r>
      <w:r>
        <w:t xml:space="preserve"> </w:t>
      </w:r>
      <w:r>
        <w:rPr>
          <w:i/>
          <w:iCs/>
        </w:rPr>
        <w:t xml:space="preserve">interpretive value</w:t>
      </w:r>
      <w:r>
        <w:t xml:space="preserve">: appearing in 30–50% of top-10 SHAP features, they let clinicians read "trend" directly rather than inferring it from two coefficients. This reconciles our results with Kanegae et al. [9], whose XGBoost top-20 contained no deltas despite their inclusion. When only one visit is available, deltas do add 1.5–2.3% AUC, reinforcing the value of repeated checkups.</w:t>
      </w:r>
    </w:p>
    <w:p>
      <w:pPr>
        <w:pStyle w:val="BlockText"/>
      </w:pPr>
      <w:r>
        <w:rPr>
          <w:rFonts w:hint="eastAsia"/>
        </w:rPr>
        <w:t xml:space="preserve">本消融釐清一個常被混淆的點。當兩個原始時間點皆存在時，Δ</w:t>
      </w:r>
      <w:r>
        <w:t xml:space="preserve"> </w:t>
      </w:r>
      <w:r>
        <w:rPr>
          <w:rFonts w:hint="eastAsia"/>
        </w:rPr>
        <w:t xml:space="preserve">在預測上</w:t>
      </w:r>
      <w:r>
        <w:rPr>
          <w:rFonts w:hint="eastAsia"/>
          <w:i/>
          <w:iCs/>
        </w:rPr>
        <w:t xml:space="preserve">冗餘</w:t>
      </w:r>
      <w:r>
        <w:rPr>
          <w:rFonts w:hint="eastAsia"/>
        </w:rPr>
        <w:t xml:space="preserve">，但具</w:t>
      </w:r>
      <w:r>
        <w:rPr>
          <w:rFonts w:hint="eastAsia"/>
          <w:i/>
          <w:iCs/>
        </w:rPr>
        <w:t xml:space="preserve">解釋價值</w:t>
      </w:r>
      <w:r>
        <w:rPr>
          <w:rFonts w:hint="eastAsia"/>
        </w:rPr>
        <w:t xml:space="preserve">：佔前十</w:t>
      </w:r>
      <w:r>
        <w:t xml:space="preserve"> SHAP </w:t>
      </w:r>
      <w:r>
        <w:rPr>
          <w:rFonts w:hint="eastAsia"/>
        </w:rPr>
        <w:t xml:space="preserve">特徵的</w:t>
      </w:r>
      <w:r>
        <w:t xml:space="preserve"> </w:t>
      </w:r>
      <w:r>
        <w:rPr>
          <w:rFonts w:hint="eastAsia"/>
        </w:rPr>
        <w:t xml:space="preserve">30–50%，讓臨床人員可直接讀取「趨勢」，而非從兩個係數推導。此可調和本研究與</w:t>
      </w:r>
      <w:r>
        <w:t xml:space="preserve"> Kanegae </w:t>
      </w:r>
      <w:r>
        <w:rPr>
          <w:rFonts w:hint="eastAsia"/>
        </w:rPr>
        <w:t xml:space="preserve">等人</w:t>
      </w:r>
      <w:r>
        <w:t xml:space="preserve"> [9] </w:t>
      </w:r>
      <w:r>
        <w:rPr>
          <w:rFonts w:hint="eastAsia"/>
        </w:rPr>
        <w:t xml:space="preserve">的結果——其</w:t>
      </w:r>
      <w:r>
        <w:t xml:space="preserve"> XGBoost </w:t>
      </w:r>
      <w:r>
        <w:rPr>
          <w:rFonts w:hint="eastAsia"/>
        </w:rPr>
        <w:t xml:space="preserve">前二十名雖納入</w:t>
      </w:r>
      <w:r>
        <w:t xml:space="preserve"> Δ </w:t>
      </w:r>
      <w:r>
        <w:rPr>
          <w:rFonts w:hint="eastAsia"/>
        </w:rPr>
        <w:t xml:space="preserve">卻無一上榜。當僅有一次健檢時，Δ</w:t>
      </w:r>
      <w:r>
        <w:t xml:space="preserve"> </w:t>
      </w:r>
      <w:r>
        <w:rPr>
          <w:rFonts w:hint="eastAsia"/>
        </w:rPr>
        <w:t xml:space="preserve">確可增加</w:t>
      </w:r>
      <w:r>
        <w:t xml:space="preserve"> 1.5–2.3% </w:t>
      </w:r>
      <w:r>
        <w:rPr>
          <w:rFonts w:hint="eastAsia"/>
        </w:rPr>
        <w:t xml:space="preserve">AUC，強化重複健檢的價值。</w:t>
      </w:r>
    </w:p>
    <w:bookmarkEnd w:id="57"/>
    <w:bookmarkStart w:id="59" w:name="Xfab862e50f98b5eb0165b43396b9e8ad67b984c"/>
    <w:p>
      <w:pPr>
        <w:pStyle w:val="Heading3"/>
      </w:pPr>
      <w:r>
        <w:t xml:space="preserve">4.3 Toward low-cost, interpretable screening</w:t>
      </w:r>
    </w:p>
    <w:p>
      <w:pPr>
        <w:pStyle w:val="Heading3"/>
      </w:pPr>
      <w:bookmarkStart w:id="58" w:name="X43d423d9d21279fbb9e5f3fbac21bd78f1ecc7c"/>
      <w:r>
        <w:t xml:space="preserve">4.3 </w:t>
      </w:r>
      <w:r>
        <w:rPr>
          <w:rFonts w:hint="eastAsia"/>
        </w:rPr>
        <w:t xml:space="preserve">邁向低成本、可解釋的篩檢</w:t>
      </w:r>
      <w:bookmarkEnd w:id="58"/>
    </w:p>
    <w:p>
      <w:pPr>
        <w:pStyle w:val="FirstParagraph"/>
      </w:pPr>
      <w:r>
        <w:t xml:space="preserve">Two findings support frugal deployment. First, two features preserve AUC within ~0.8% of the 26-feature model, so a primary-care system need not collect an expensive panel. Second, symbolic regression yields transparent formulas; for hyperglycemia, a one-variable rule reaches AUC 0.943 and is fold-stable. Such rules are trivially computable at the point of care—while the instability of the other two formulas marks a clear boundary on this approach.</w:t>
      </w:r>
    </w:p>
    <w:p>
      <w:pPr>
        <w:pStyle w:val="BlockText"/>
      </w:pPr>
      <w:r>
        <w:rPr>
          <w:rFonts w:hint="eastAsia"/>
        </w:rPr>
        <w:t xml:space="preserve">兩項發現支持精簡部署。其一，雙特徵即可保留</w:t>
      </w:r>
      <w:r>
        <w:t xml:space="preserve"> AUC </w:t>
      </w:r>
      <w:r>
        <w:rPr>
          <w:rFonts w:hint="eastAsia"/>
        </w:rPr>
        <w:t xml:space="preserve">在</w:t>
      </w:r>
      <w:r>
        <w:t xml:space="preserve"> 26 </w:t>
      </w:r>
      <w:r>
        <w:rPr>
          <w:rFonts w:hint="eastAsia"/>
        </w:rPr>
        <w:t xml:space="preserve">特徵模型的</w:t>
      </w:r>
      <w:r>
        <w:t xml:space="preserve"> ~0.8% </w:t>
      </w:r>
      <w:r>
        <w:rPr>
          <w:rFonts w:hint="eastAsia"/>
        </w:rPr>
        <w:t xml:space="preserve">內，基層系統無需收集昂貴檢驗組。其二，符號回歸產出透明公式；高血糖的單變數規則達</w:t>
      </w:r>
      <w:r>
        <w:t xml:space="preserve"> AUC 0.943 </w:t>
      </w:r>
      <w:r>
        <w:rPr>
          <w:rFonts w:hint="eastAsia"/>
        </w:rPr>
        <w:t xml:space="preserve">且跨折穩定，於照護現場即可輕易計算——而其餘兩項公式的不穩定性則標示出此法的明確界線。</w:t>
      </w:r>
    </w:p>
    <w:bookmarkEnd w:id="59"/>
    <w:bookmarkStart w:id="61" w:name="X7c95bb97131b594aa7673109c051c80c5a0bcc4"/>
    <w:p>
      <w:pPr>
        <w:pStyle w:val="Heading3"/>
      </w:pPr>
      <w:r>
        <w:t xml:space="preserve">4.4 Robustness</w:t>
      </w:r>
    </w:p>
    <w:p>
      <w:pPr>
        <w:pStyle w:val="Heading3"/>
      </w:pPr>
      <w:bookmarkStart w:id="60" w:name="X97773f50a4dacf5c30347abfbccfa7a2c71e0e7"/>
      <w:r>
        <w:t xml:space="preserve">4.4 </w:t>
      </w:r>
      <w:r>
        <w:rPr>
          <w:rFonts w:hint="eastAsia"/>
        </w:rPr>
        <w:t xml:space="preserve">穩健性</w:t>
      </w:r>
      <w:bookmarkEnd w:id="60"/>
    </w:p>
    <w:p>
      <w:pPr>
        <w:pStyle w:val="FirstParagraph"/>
      </w:pPr>
      <w:r>
        <w:t xml:space="preserve">The conclusions are stable across analytic choices: imbalance methods differ by &lt;0.2% in AUC; excluding baseline-diagnosed windows shifts AUC by ≤1.3%; multi-task matches single-task within ≤0.8%. These establish that the headline results are not artifacts of a particular preprocessing or modeling decision.</w:t>
      </w:r>
    </w:p>
    <w:p>
      <w:pPr>
        <w:pStyle w:val="BlockText"/>
      </w:pPr>
      <w:r>
        <w:rPr>
          <w:rFonts w:hint="eastAsia"/>
        </w:rPr>
        <w:t xml:space="preserve">結論在各種分析選擇下皆穩定：不平衡方法的</w:t>
      </w:r>
      <w:r>
        <w:t xml:space="preserve"> AUC </w:t>
      </w:r>
      <w:r>
        <w:rPr>
          <w:rFonts w:hint="eastAsia"/>
        </w:rPr>
        <w:t xml:space="preserve">差異</w:t>
      </w:r>
      <w:r>
        <w:t xml:space="preserve"> </w:t>
      </w:r>
      <w:r>
        <w:rPr>
          <w:rFonts w:hint="eastAsia"/>
        </w:rPr>
        <w:t xml:space="preserve">&lt;0.2%；排除基線已確診窗口使</w:t>
      </w:r>
      <w:r>
        <w:t xml:space="preserve"> AUC </w:t>
      </w:r>
      <w:r>
        <w:rPr>
          <w:rFonts w:hint="eastAsia"/>
        </w:rPr>
        <w:t xml:space="preserve">變動</w:t>
      </w:r>
      <w:r>
        <w:t xml:space="preserve"> </w:t>
      </w:r>
      <w:r>
        <w:rPr>
          <w:rFonts w:hint="eastAsia"/>
        </w:rPr>
        <w:t xml:space="preserve">≤1.3%；多任務與單任務差距</w:t>
      </w:r>
      <w:r>
        <w:t xml:space="preserve"> </w:t>
      </w:r>
      <w:r>
        <w:rPr>
          <w:rFonts w:hint="eastAsia"/>
        </w:rPr>
        <w:t xml:space="preserve">≤0.8%。這些確立主要結果並非特定前處理或建模決策的產物。</w:t>
      </w:r>
    </w:p>
    <w:bookmarkEnd w:id="61"/>
    <w:bookmarkStart w:id="63" w:name="Xc005d0bbce9bbe2fe200fe495699cbddbde0359"/>
    <w:p>
      <w:pPr>
        <w:pStyle w:val="Heading3"/>
      </w:pPr>
      <w:r>
        <w:t xml:space="preserve">4.5 Limitations</w:t>
      </w:r>
    </w:p>
    <w:p>
      <w:pPr>
        <w:pStyle w:val="Heading3"/>
      </w:pPr>
      <w:bookmarkStart w:id="62" w:name="Xe6200cf249d12d37f3c9d9fcebff0f953a61848"/>
      <w:r>
        <w:t xml:space="preserve">4.5 </w:t>
      </w:r>
      <w:r>
        <w:rPr>
          <w:rFonts w:hint="eastAsia"/>
        </w:rPr>
        <w:t xml:space="preserve">研究限制</w:t>
      </w:r>
      <w:bookmarkEnd w:id="62"/>
    </w:p>
    <w:p>
      <w:pPr>
        <w:pStyle w:val="FirstParagraph"/>
      </w:pPr>
      <w:r>
        <w:t xml:space="preserve">(1)</w:t>
      </w:r>
      <w:r>
        <w:t xml:space="preserve"> </w:t>
      </w:r>
      <w:r>
        <w:rPr>
          <w:i/>
          <w:iCs/>
        </w:rPr>
        <w:t xml:space="preserve">Selection bias</w:t>
      </w:r>
      <w:r>
        <w:t xml:space="preserve">: voluntary checkup attendees may be healthier than the general population, limiting generalizability. (2)</w:t>
      </w:r>
      <w:r>
        <w:t xml:space="preserve"> </w:t>
      </w:r>
      <w:r>
        <w:rPr>
          <w:i/>
          <w:iCs/>
        </w:rPr>
        <w:t xml:space="preserve">No external validation</w:t>
      </w:r>
      <w:r>
        <w:t xml:space="preserve">: lacking a comparable dataset, we relied on internal CV; a Synthea attempt [37] failed on data quality (99.4% hyperglycemia positivity; 72% missing TC), and the only feasible hypertension test dropped (AUC 0.718→0.625) due to cohort differences—a temporal-split validation is planned. (3)</w:t>
      </w:r>
      <w:r>
        <w:t xml:space="preserve"> </w:t>
      </w:r>
      <w:r>
        <w:rPr>
          <w:i/>
          <w:iCs/>
        </w:rPr>
        <w:t xml:space="preserve">Label/medication ambiguity</w:t>
      </w:r>
      <w:r>
        <w:t xml:space="preserve">: labels behave as per-visit snapshots (≈24.8% of positives later reverted), and missing medication records mean the model predicts threshold breach rather than persistent disease—also underlying the unverified blood-pressure hypothesis. (4)</w:t>
      </w:r>
      <w:r>
        <w:t xml:space="preserve"> </w:t>
      </w:r>
      <w:r>
        <w:rPr>
          <w:i/>
          <w:iCs/>
        </w:rPr>
        <w:t xml:space="preserve">No lifestyle data</w:t>
      </w:r>
      <w:r>
        <w:t xml:space="preserve">: diet, exercise, smoking [36] were unavailable. (5)</w:t>
      </w:r>
      <w:r>
        <w:t xml:space="preserve"> </w:t>
      </w:r>
      <w:r>
        <w:rPr>
          <w:i/>
          <w:iCs/>
        </w:rPr>
        <w:t xml:space="preserve">Limited time points</w:t>
      </w:r>
      <w:r>
        <w:t xml:space="preserve">: with three visits, deep sequence models (LSTM, GRU, Transformer) were not explored.</w:t>
      </w:r>
    </w:p>
    <w:p>
      <w:pPr>
        <w:pStyle w:val="BlockText"/>
      </w:pPr>
      <w:r>
        <w:t xml:space="preserve">(1)</w:t>
      </w:r>
      <w:r>
        <w:t xml:space="preserve"> </w:t>
      </w:r>
      <w:r>
        <w:rPr>
          <w:rFonts w:hint="eastAsia"/>
          <w:i/>
          <w:iCs/>
        </w:rPr>
        <w:t xml:space="preserve">選擇偏差</w:t>
      </w:r>
      <w:r>
        <w:rPr>
          <w:rFonts w:hint="eastAsia"/>
        </w:rPr>
        <w:t xml:space="preserve">：自願受檢者可能較一般人口健康，限制外推性。(2)</w:t>
      </w:r>
      <w:r>
        <w:t xml:space="preserve"> </w:t>
      </w:r>
      <w:r>
        <w:rPr>
          <w:rFonts w:hint="eastAsia"/>
          <w:i/>
          <w:iCs/>
        </w:rPr>
        <w:t xml:space="preserve">無外部驗證</w:t>
      </w:r>
      <w:r>
        <w:rPr>
          <w:rFonts w:hint="eastAsia"/>
        </w:rPr>
        <w:t xml:space="preserve">：缺乏可比資料集，僅以內部交叉驗證；Synthea</w:t>
      </w:r>
      <w:r>
        <w:t xml:space="preserve"> </w:t>
      </w:r>
      <w:r>
        <w:rPr>
          <w:rFonts w:hint="eastAsia"/>
        </w:rPr>
        <w:t xml:space="preserve">嘗試</w:t>
      </w:r>
      <w:r>
        <w:t xml:space="preserve"> [37] </w:t>
      </w:r>
      <w:r>
        <w:rPr>
          <w:rFonts w:hint="eastAsia"/>
        </w:rPr>
        <w:t xml:space="preserve">因資料品質失敗（高血糖陽性率</w:t>
      </w:r>
      <w:r>
        <w:t xml:space="preserve"> </w:t>
      </w:r>
      <w:r>
        <w:rPr>
          <w:rFonts w:hint="eastAsia"/>
        </w:rPr>
        <w:t xml:space="preserve">99.4%；TC</w:t>
      </w:r>
      <w:r>
        <w:t xml:space="preserve"> </w:t>
      </w:r>
      <w:r>
        <w:rPr>
          <w:rFonts w:hint="eastAsia"/>
        </w:rPr>
        <w:t xml:space="preserve">缺失</w:t>
      </w:r>
      <w:r>
        <w:t xml:space="preserve"> </w:t>
      </w:r>
      <w:r>
        <w:rPr>
          <w:rFonts w:hint="eastAsia"/>
        </w:rPr>
        <w:t xml:space="preserve">72%），唯一可行的高血壓測試因世代差異而下降（AUC</w:t>
      </w:r>
      <w:r>
        <w:t xml:space="preserve"> </w:t>
      </w:r>
      <w:r>
        <w:rPr>
          <w:rFonts w:hint="eastAsia"/>
        </w:rPr>
        <w:t xml:space="preserve">0.718→0.625）——已規劃時間切分驗證。(3)</w:t>
      </w:r>
      <w:r>
        <w:t xml:space="preserve"> </w:t>
      </w:r>
      <w:r>
        <w:rPr>
          <w:rFonts w:hint="eastAsia"/>
          <w:i/>
          <w:iCs/>
        </w:rPr>
        <w:t xml:space="preserve">標記/用藥不明確</w:t>
      </w:r>
      <w:r>
        <w:rPr>
          <w:rFonts w:hint="eastAsia"/>
        </w:rPr>
        <w:t xml:space="preserve">：標記呈現為單次健檢快照（約</w:t>
      </w:r>
      <w:r>
        <w:t xml:space="preserve"> 24.8% </w:t>
      </w:r>
      <w:r>
        <w:rPr>
          <w:rFonts w:hint="eastAsia"/>
        </w:rPr>
        <w:t xml:space="preserve">陽性者後續翻轉），且缺乏用藥紀錄，模型預測的是「是否超過閾值」而非持續性疾病——亦是前述血壓假說的根源。(4)</w:t>
      </w:r>
      <w:r>
        <w:t xml:space="preserve"> </w:t>
      </w:r>
      <w:r>
        <w:rPr>
          <w:rFonts w:hint="eastAsia"/>
          <w:i/>
          <w:iCs/>
        </w:rPr>
        <w:t xml:space="preserve">無生活型態資料</w:t>
      </w:r>
      <w:r>
        <w:rPr>
          <w:rFonts w:hint="eastAsia"/>
        </w:rPr>
        <w:t xml:space="preserve">：飲食、運動、吸菸</w:t>
      </w:r>
      <w:r>
        <w:t xml:space="preserve"> [36] </w:t>
      </w:r>
      <w:r>
        <w:rPr>
          <w:rFonts w:hint="eastAsia"/>
        </w:rPr>
        <w:t xml:space="preserve">不可得。(5)</w:t>
      </w:r>
      <w:r>
        <w:t xml:space="preserve"> </w:t>
      </w:r>
      <w:r>
        <w:rPr>
          <w:rFonts w:hint="eastAsia"/>
          <w:i/>
          <w:iCs/>
        </w:rPr>
        <w:t xml:space="preserve">時間點有限</w:t>
      </w:r>
      <w:r>
        <w:rPr>
          <w:rFonts w:hint="eastAsia"/>
        </w:rPr>
        <w:t xml:space="preserve">：僅三次，未探索深度時序模型（LSTM、GRU、Transformer）。</w:t>
      </w:r>
    </w:p>
    <w:bookmarkEnd w:id="63"/>
    <w:bookmarkStart w:id="65" w:name="Xacfa0d1887c905aa1423f170cfeb8e3fc2dc140"/>
    <w:p>
      <w:pPr>
        <w:pStyle w:val="Heading3"/>
      </w:pPr>
      <w:r>
        <w:t xml:space="preserve">4.6 Future work</w:t>
      </w:r>
    </w:p>
    <w:p>
      <w:pPr>
        <w:pStyle w:val="Heading3"/>
      </w:pPr>
      <w:bookmarkStart w:id="64" w:name="X25b7cba26528fe0873e9afd91284924db57ecf3"/>
      <w:r>
        <w:t xml:space="preserve">4.6 </w:t>
      </w:r>
      <w:r>
        <w:rPr>
          <w:rFonts w:hint="eastAsia"/>
        </w:rPr>
        <w:t xml:space="preserve">未來工作</w:t>
      </w:r>
      <w:bookmarkEnd w:id="64"/>
    </w:p>
    <w:p>
      <w:pPr>
        <w:pStyle w:val="FirstParagraph"/>
      </w:pPr>
      <w:r>
        <w:t xml:space="preserve">Priorities are a temporal-split (and eventually external) validation, calibration assessment, incorporation of medication and lifestyle features, deep temporal models if longer series become available, and extension of the framework to other chronic diseases.</w:t>
      </w:r>
    </w:p>
    <w:p>
      <w:pPr>
        <w:pStyle w:val="BlockText"/>
      </w:pPr>
      <w:r>
        <w:rPr>
          <w:rFonts w:hint="eastAsia"/>
        </w:rPr>
        <w:t xml:space="preserve">優先方向為時間切分（最終外部）驗證、校準評估、納入用藥與生活型態特徵、若取得更長序列則採深度時序模型，以及將框架推廣至其他慢性病。</w:t>
      </w:r>
    </w:p>
    <w:p>
      <w:r>
        <w:pict>
          <v:rect style="width:0;height:1.5pt" o:hralign="center" o:hrstd="t" o:hr="t"/>
        </w:pict>
      </w:r>
    </w:p>
    <w:bookmarkEnd w:id="65"/>
    <w:bookmarkEnd w:id="66"/>
    <w:bookmarkStart w:id="69" w:name="Xb2b42a8ba537a28fb8ab83e54ebcb6cb0d58b62"/>
    <w:p>
      <w:pPr>
        <w:pStyle w:val="Heading2"/>
      </w:pPr>
      <w:r>
        <w:t xml:space="preserve">5. Conclusions</w:t>
      </w:r>
    </w:p>
    <w:p>
      <w:pPr>
        <w:pStyle w:val="Heading2"/>
      </w:pPr>
      <w:bookmarkStart w:id="67" w:name="X14ba826b0dc2bc32dbb48370b9d111c9e023a40"/>
      <w:r>
        <w:t xml:space="preserve">5. </w:t>
      </w:r>
      <w:r>
        <w:rPr>
          <w:rFonts w:hint="eastAsia"/>
        </w:rPr>
        <w:t xml:space="preserve">結論</w:t>
      </w:r>
      <w:bookmarkEnd w:id="67"/>
    </w:p>
    <w:p>
      <w:pPr>
        <w:pStyle w:val="FirstParagraph"/>
      </w:pPr>
      <w:r>
        <w:t xml:space="preserve">Using a public longitudinal checkup cohort, we showed that simple feature engineering and a linear model predict the three highs with clinically useful, well-generalizing, and interpretable performance (LR AUC 0.721/0.938/0.867). Delta features are predictively redundant when raw time points are present but interpretively valuable; two features—or, for hyperglycemia, a single-variable formula (AUC 0.943)—suffice for near-complete accuracy; and the results are robust to imbalance handling, data filtering, and multi-task versus single-task design. These findings support deploying low-cost, interpretable early-warning screening in primary care, and provide comprehensive model-selection evidence for longitudinal three-highs prediction.</w:t>
      </w:r>
    </w:p>
    <w:p>
      <w:pPr>
        <w:pStyle w:val="BlockText"/>
      </w:pPr>
      <w:r>
        <w:rPr>
          <w:rFonts w:hint="eastAsia"/>
        </w:rPr>
        <w:t xml:space="preserve">以公開縱向健檢世代，我們證明簡單特徵工程與線性模型即可對三高達到臨床可用、泛化良好且可解釋的預測（LR</w:t>
      </w:r>
      <w:r>
        <w:t xml:space="preserve"> AUC </w:t>
      </w:r>
      <w:r>
        <w:rPr>
          <w:rFonts w:hint="eastAsia"/>
        </w:rPr>
        <w:t xml:space="preserve">0.721/0.938/0.867）。Δ</w:t>
      </w:r>
      <w:r>
        <w:t xml:space="preserve"> </w:t>
      </w:r>
      <w:r>
        <w:rPr>
          <w:rFonts w:hint="eastAsia"/>
        </w:rPr>
        <w:t xml:space="preserve">特徵在原始時間點存在時於預測上冗餘，但具解釋價值；雙特徵——或對高血糖而言，單變數公式（AUC</w:t>
      </w:r>
      <w:r>
        <w:t xml:space="preserve"> </w:t>
      </w:r>
      <w:r>
        <w:rPr>
          <w:rFonts w:hint="eastAsia"/>
        </w:rPr>
        <w:t xml:space="preserve">0.943）——即足以達到近乎完整的準確度；且結果對不平衡處理、資料篩選、多任務</w:t>
      </w:r>
      <w:r>
        <w:t xml:space="preserve"> vs </w:t>
      </w:r>
      <w:r>
        <w:rPr>
          <w:rFonts w:hint="eastAsia"/>
        </w:rPr>
        <w:t xml:space="preserve">單任務設計皆穩健。這些發現支持在基層醫療部署低成本、可解釋的早期預警篩檢，並為縱向三高預測提供完整的模型選擇依據。</w:t>
      </w:r>
    </w:p>
    <w:p>
      <w:r>
        <w:pict>
          <v:rect style="width:0;height:1.5pt" o:hralign="center" o:hrstd="t" o:hr="t"/>
        </w:pict>
      </w:r>
    </w:p>
    <w:p>
      <w:pPr>
        <w:pStyle w:val="FirstParagraph"/>
      </w:pPr>
      <w:r>
        <w:rPr>
          <w:b/>
          <w:bCs/>
        </w:rPr>
        <w:t xml:space="preserve">References / </w:t>
      </w:r>
      <w:r>
        <w:rPr>
          <w:rFonts w:hint="eastAsia"/>
          <w:b/>
          <w:bCs/>
        </w:rPr>
        <w:t xml:space="preserve">參考文獻：</w:t>
      </w:r>
      <w:r>
        <w:t xml:space="preserve"> </w:t>
      </w:r>
      <w:r>
        <w:rPr>
          <w:rFonts w:hint="eastAsia"/>
        </w:rPr>
        <w:t xml:space="preserve">見英文正式版</w:t>
      </w:r>
      <w:r>
        <w:t xml:space="preserve"> </w:t>
      </w:r>
      <w:hyperlink r:id="rId68">
        <w:r>
          <w:rPr>
            <w:rStyle w:val="Hyperlink"/>
          </w:rPr>
          <w:t xml:space="preserve">manuscript_v1.md</w:t>
        </w:r>
      </w:hyperlink>
      <w:r>
        <w:rPr>
          <w:rFonts w:hint="eastAsia"/>
        </w:rPr>
        <w:t xml:space="preserve">（[1]–[37]，IEEE/Vancouver</w:t>
      </w:r>
      <w:r>
        <w:t xml:space="preserve"> </w:t>
      </w:r>
      <w:r>
        <w:rPr>
          <w:rFonts w:hint="eastAsia"/>
        </w:rPr>
        <w:t xml:space="preserve">編號）。</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manuscript_v1.md" TargetMode="External" /></Relationships>
</file>

<file path=word/_rels/footnotes.xml.rels><?xml version="1.0" encoding="UTF-8"?><Relationships xmlns="http://schemas.openxmlformats.org/package/2006/relationships"><Relationship Type="http://schemas.openxmlformats.org/officeDocument/2006/relationships/hyperlink" Id="rId68" Target="manuscript_v1.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2026-06-03T09:17:18Z</dcterms:created>
  <dcterms:modified xsi:type="dcterms:W3CDTF">2026-06-03T09:17:18Z</dcterms:modified>
</cp:coreProperties>
</file>

<file path=docProps/custom.xml><?xml version="1.0" encoding="utf-8"?>
<Properties xmlns="http://schemas.openxmlformats.org/officeDocument/2006/custom-properties" xmlns:vt="http://schemas.openxmlformats.org/officeDocument/2006/docPropsVTypes"/>
</file>