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59B0" w:rsidRPr="00014C11" w:rsidRDefault="00014C11">
      <w:pPr>
        <w:pStyle w:val="1"/>
        <w:rPr>
          <w:rFonts w:ascii="Times New Roman" w:eastAsia="標楷體" w:hAnsi="Times New Roman" w:cs="Times New Roman"/>
        </w:rPr>
      </w:pPr>
      <w:bookmarkStart w:id="0" w:name="第五章-結論與未來研究"/>
      <w:r w:rsidRPr="00014C11">
        <w:rPr>
          <w:rFonts w:ascii="Times New Roman" w:eastAsia="標楷體" w:hAnsi="Times New Roman" w:cs="Times New Roman"/>
        </w:rPr>
        <w:t>第五章</w:t>
      </w:r>
      <w:r w:rsidRPr="00014C11">
        <w:rPr>
          <w:rFonts w:ascii="Times New Roman" w:eastAsia="標楷體" w:hAnsi="Times New Roman" w:cs="Times New Roman"/>
        </w:rPr>
        <w:t xml:space="preserve"> </w:t>
      </w:r>
      <w:r w:rsidRPr="00014C11">
        <w:rPr>
          <w:rFonts w:ascii="Times New Roman" w:eastAsia="標楷體" w:hAnsi="Times New Roman" w:cs="Times New Roman"/>
        </w:rPr>
        <w:t>結論與未來研究</w:t>
      </w:r>
    </w:p>
    <w:p w:rsidR="002E59B0" w:rsidRPr="00014C11" w:rsidRDefault="00014C11">
      <w:pPr>
        <w:pStyle w:val="2"/>
        <w:rPr>
          <w:rFonts w:ascii="Times New Roman" w:eastAsia="標楷體" w:hAnsi="Times New Roman" w:cs="Times New Roman"/>
        </w:rPr>
      </w:pPr>
      <w:bookmarkStart w:id="1" w:name="研究總結"/>
      <w:r w:rsidRPr="00014C11">
        <w:rPr>
          <w:rFonts w:ascii="Times New Roman" w:eastAsia="標楷體" w:hAnsi="Times New Roman" w:cs="Times New Roman"/>
        </w:rPr>
        <w:t xml:space="preserve">5.1 </w:t>
      </w:r>
      <w:r w:rsidRPr="00014C11">
        <w:rPr>
          <w:rFonts w:ascii="Times New Roman" w:eastAsia="標楷體" w:hAnsi="Times New Roman" w:cs="Times New Roman"/>
        </w:rPr>
        <w:t>研究總結</w:t>
      </w:r>
    </w:p>
    <w:p w:rsidR="002E59B0" w:rsidRPr="00014C11" w:rsidRDefault="00014C11">
      <w:pPr>
        <w:pStyle w:val="FirstParagraph"/>
        <w:rPr>
          <w:rFonts w:ascii="Times New Roman" w:eastAsia="標楷體" w:hAnsi="Times New Roman" w:cs="Times New Roman"/>
        </w:rPr>
      </w:pPr>
      <w:r w:rsidRPr="00014C11">
        <w:rPr>
          <w:rFonts w:ascii="Times New Roman" w:eastAsia="標楷體" w:hAnsi="Times New Roman" w:cs="Times New Roman"/>
        </w:rPr>
        <w:t>本研究旨在利用縱向健檢資料預測三高疾病（高血壓、高血糖、高血脂）的風險，並透過變化量特徵（</w:t>
      </w:r>
      <w:r w:rsidRPr="00014C11">
        <w:rPr>
          <w:rFonts w:ascii="Times New Roman" w:eastAsia="標楷體" w:hAnsi="Times New Roman" w:cs="Times New Roman"/>
        </w:rPr>
        <w:t>Delta</w:t>
      </w:r>
      <w:r w:rsidRPr="00014C11">
        <w:rPr>
          <w:rFonts w:ascii="Times New Roman" w:eastAsia="標楷體" w:hAnsi="Times New Roman" w:cs="Times New Roman"/>
        </w:rPr>
        <w:t xml:space="preserve"> Features, Δ </w:t>
      </w:r>
      <w:r w:rsidRPr="00014C11">
        <w:rPr>
          <w:rFonts w:ascii="Times New Roman" w:eastAsia="標楷體" w:hAnsi="Times New Roman" w:cs="Times New Roman"/>
        </w:rPr>
        <w:t>Features</w:t>
      </w:r>
      <w:r w:rsidRPr="00014C11">
        <w:rPr>
          <w:rFonts w:ascii="Times New Roman" w:eastAsia="標楷體" w:hAnsi="Times New Roman" w:cs="Times New Roman"/>
        </w:rPr>
        <w:t>）的設計，捕捉個體健康狀態的動態變化，以提升預測性能與臨床應用價值。</w:t>
      </w:r>
    </w:p>
    <w:p w:rsidR="002E59B0" w:rsidRPr="00014C11" w:rsidRDefault="00014C11">
      <w:pPr>
        <w:pStyle w:val="3"/>
        <w:rPr>
          <w:rFonts w:ascii="Times New Roman" w:eastAsia="標楷體" w:hAnsi="Times New Roman" w:cs="Times New Roman"/>
        </w:rPr>
      </w:pPr>
      <w:bookmarkStart w:id="2" w:name="主要研究發現"/>
      <w:r w:rsidRPr="00014C11">
        <w:rPr>
          <w:rFonts w:ascii="Times New Roman" w:eastAsia="標楷體" w:hAnsi="Times New Roman" w:cs="Times New Roman"/>
        </w:rPr>
        <w:t>主要研究發現</w:t>
      </w:r>
    </w:p>
    <w:p w:rsidR="002E59B0" w:rsidRPr="00014C11" w:rsidRDefault="00014C11">
      <w:pPr>
        <w:pStyle w:val="FirstParagraph"/>
        <w:rPr>
          <w:rFonts w:ascii="Times New Roman" w:eastAsia="標楷體" w:hAnsi="Times New Roman" w:cs="Times New Roman"/>
        </w:rPr>
      </w:pPr>
      <w:r w:rsidRPr="00014C11">
        <w:rPr>
          <w:rFonts w:ascii="Times New Roman" w:eastAsia="標楷體" w:hAnsi="Times New Roman" w:cs="Times New Roman"/>
        </w:rPr>
        <w:t>針對第一章提出的核心研究問題，本研究獲得以下主要發現：</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發現一：變化量特徵的預測價值</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本研究系統性驗證了</w:t>
      </w:r>
      <w:r w:rsidRPr="00014C11">
        <w:rPr>
          <w:rFonts w:ascii="Times New Roman" w:eastAsia="標楷體" w:hAnsi="Times New Roman" w:cs="Times New Roman"/>
        </w:rPr>
        <w:t xml:space="preserve"> Δ </w:t>
      </w:r>
      <w:r w:rsidRPr="00014C11">
        <w:rPr>
          <w:rFonts w:ascii="Times New Roman" w:eastAsia="標楷體" w:hAnsi="Times New Roman" w:cs="Times New Roman"/>
        </w:rPr>
        <w:t>特徵在三高疾病預測中的效果。實驗結果顯示，在資料受限的情境下（僅有</w:t>
      </w:r>
      <w:r w:rsidRPr="00014C11">
        <w:rPr>
          <w:rFonts w:ascii="Times New Roman" w:eastAsia="標楷體" w:hAnsi="Times New Roman" w:cs="Times New Roman"/>
        </w:rPr>
        <w:t xml:space="preserve"> Y-1 </w:t>
      </w:r>
      <w:r w:rsidRPr="00014C11">
        <w:rPr>
          <w:rFonts w:ascii="Times New Roman" w:eastAsia="標楷體" w:hAnsi="Times New Roman" w:cs="Times New Roman"/>
        </w:rPr>
        <w:t>時間點資料），加入</w:t>
      </w:r>
      <w:r w:rsidRPr="00014C11">
        <w:rPr>
          <w:rFonts w:ascii="Times New Roman" w:eastAsia="標楷體" w:hAnsi="Times New Roman" w:cs="Times New Roman"/>
        </w:rPr>
        <w:t xml:space="preserve"> Δ </w:t>
      </w:r>
      <w:r w:rsidRPr="00014C11">
        <w:rPr>
          <w:rFonts w:ascii="Times New Roman" w:eastAsia="標楷體" w:hAnsi="Times New Roman" w:cs="Times New Roman"/>
        </w:rPr>
        <w:t>特徵可帶來</w:t>
      </w:r>
      <w:r w:rsidRPr="00014C11">
        <w:rPr>
          <w:rFonts w:ascii="Times New Roman" w:eastAsia="標楷體" w:hAnsi="Times New Roman" w:cs="Times New Roman"/>
        </w:rPr>
        <w:t xml:space="preserve"> 1.5% </w:t>
      </w:r>
      <w:r w:rsidRPr="00014C11">
        <w:rPr>
          <w:rFonts w:ascii="Times New Roman" w:eastAsia="標楷體" w:hAnsi="Times New Roman" w:cs="Times New Roman"/>
        </w:rPr>
        <w:t>至</w:t>
      </w:r>
      <w:r w:rsidRPr="00014C11">
        <w:rPr>
          <w:rFonts w:ascii="Times New Roman" w:eastAsia="標楷體" w:hAnsi="Times New Roman" w:cs="Times New Roman"/>
        </w:rPr>
        <w:t xml:space="preserve"> 2.3% </w:t>
      </w:r>
      <w:r w:rsidRPr="00014C11">
        <w:rPr>
          <w:rFonts w:ascii="Times New Roman" w:eastAsia="標楷體" w:hAnsi="Times New Roman" w:cs="Times New Roman"/>
        </w:rPr>
        <w:t>的</w:t>
      </w:r>
      <w:r w:rsidRPr="00014C11">
        <w:rPr>
          <w:rFonts w:ascii="Times New Roman" w:eastAsia="標楷體" w:hAnsi="Times New Roman" w:cs="Times New Roman"/>
        </w:rPr>
        <w:t xml:space="preserve"> AUC </w:t>
      </w:r>
      <w:r w:rsidRPr="00014C11">
        <w:rPr>
          <w:rFonts w:ascii="Times New Roman" w:eastAsia="標楷體" w:hAnsi="Times New Roman" w:cs="Times New Roman"/>
        </w:rPr>
        <w:t>提升。特徵重要性分析進一步證實，</w:t>
      </w:r>
      <w:r w:rsidRPr="00014C11">
        <w:rPr>
          <w:rFonts w:ascii="Times New Roman" w:eastAsia="標楷體" w:hAnsi="Times New Roman" w:cs="Times New Roman"/>
        </w:rPr>
        <w:t>Δ</w:t>
      </w:r>
      <w:r w:rsidRPr="00014C11">
        <w:rPr>
          <w:rFonts w:ascii="Times New Roman" w:eastAsia="標楷體" w:hAnsi="Times New Roman" w:cs="Times New Roman"/>
        </w:rPr>
        <w:t xml:space="preserve"> </w:t>
      </w:r>
      <w:r w:rsidRPr="00014C11">
        <w:rPr>
          <w:rFonts w:ascii="Times New Roman" w:eastAsia="標楷體" w:hAnsi="Times New Roman" w:cs="Times New Roman"/>
        </w:rPr>
        <w:t>特徵在各疾病的</w:t>
      </w:r>
      <w:r w:rsidRPr="00014C11">
        <w:rPr>
          <w:rFonts w:ascii="Times New Roman" w:eastAsia="標楷體" w:hAnsi="Times New Roman" w:cs="Times New Roman"/>
        </w:rPr>
        <w:t xml:space="preserve"> Top 10 </w:t>
      </w:r>
      <w:r w:rsidRPr="00014C11">
        <w:rPr>
          <w:rFonts w:ascii="Times New Roman" w:eastAsia="標楷體" w:hAnsi="Times New Roman" w:cs="Times New Roman"/>
        </w:rPr>
        <w:t>重要特徵中佔比達</w:t>
      </w:r>
      <w:r w:rsidRPr="00014C11">
        <w:rPr>
          <w:rFonts w:ascii="Times New Roman" w:eastAsia="標楷體" w:hAnsi="Times New Roman" w:cs="Times New Roman"/>
        </w:rPr>
        <w:t xml:space="preserve"> </w:t>
      </w:r>
      <w:r w:rsidRPr="00014C11">
        <w:rPr>
          <w:rFonts w:ascii="Times New Roman" w:eastAsia="標楷體" w:hAnsi="Times New Roman" w:cs="Times New Roman"/>
        </w:rPr>
        <w:t>30-50%</w:t>
      </w:r>
      <w:r w:rsidRPr="00014C11">
        <w:rPr>
          <w:rFonts w:ascii="Times New Roman" w:eastAsia="標楷體" w:hAnsi="Times New Roman" w:cs="Times New Roman"/>
        </w:rPr>
        <w:t>，顯示其在捕捉健康狀態動態變化方面的獨特價值。這項發現與近期</w:t>
      </w:r>
      <w:r w:rsidRPr="00014C11">
        <w:rPr>
          <w:rFonts w:ascii="Times New Roman" w:eastAsia="標楷體" w:hAnsi="Times New Roman" w:cs="Times New Roman"/>
        </w:rPr>
        <w:t xml:space="preserve"> Chen et al. (2025) </w:t>
      </w:r>
      <w:r w:rsidRPr="00014C11">
        <w:rPr>
          <w:rFonts w:ascii="Times New Roman" w:eastAsia="標楷體" w:hAnsi="Times New Roman" w:cs="Times New Roman"/>
        </w:rPr>
        <w:t>研究中</w:t>
      </w:r>
      <w:r w:rsidRPr="00014C11">
        <w:rPr>
          <w:rFonts w:ascii="Times New Roman" w:eastAsia="標楷體" w:hAnsi="Times New Roman" w:cs="Times New Roman"/>
        </w:rPr>
        <w:t xml:space="preserve"> δ-FPG </w:t>
      </w:r>
      <w:r w:rsidRPr="00014C11">
        <w:rPr>
          <w:rFonts w:ascii="Times New Roman" w:eastAsia="標楷體" w:hAnsi="Times New Roman" w:cs="Times New Roman"/>
        </w:rPr>
        <w:t>特徵的高重要性相呼應，為縱向特徵工程在慢性疾病預測的應用提供了跨疾病的實證支持。</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發現二：模型性能與選擇</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在八種機器學習模型的比較中，</w:t>
      </w:r>
      <w:r w:rsidRPr="00014C11">
        <w:rPr>
          <w:rFonts w:ascii="Times New Roman" w:eastAsia="標楷體" w:hAnsi="Times New Roman" w:cs="Times New Roman"/>
        </w:rPr>
        <w:t>Logistic</w:t>
      </w:r>
      <w:r w:rsidRPr="00014C11">
        <w:rPr>
          <w:rFonts w:ascii="Times New Roman" w:eastAsia="標楷體" w:hAnsi="Times New Roman" w:cs="Times New Roman"/>
        </w:rPr>
        <w:t xml:space="preserve"> Regression </w:t>
      </w:r>
      <w:r w:rsidRPr="00014C11">
        <w:rPr>
          <w:rFonts w:ascii="Times New Roman" w:eastAsia="標楷體" w:hAnsi="Times New Roman" w:cs="Times New Roman"/>
        </w:rPr>
        <w:t>在三項預測任務中皆展現穩定且優異的表現，尤其在高血糖預測達到</w:t>
      </w:r>
      <w:r w:rsidRPr="00014C11">
        <w:rPr>
          <w:rFonts w:ascii="Times New Roman" w:eastAsia="標楷體" w:hAnsi="Times New Roman" w:cs="Times New Roman"/>
        </w:rPr>
        <w:t xml:space="preserve"> AUC </w:t>
      </w:r>
      <w:r w:rsidRPr="00014C11">
        <w:rPr>
          <w:rFonts w:ascii="Times New Roman" w:eastAsia="標楷體" w:hAnsi="Times New Roman" w:cs="Times New Roman"/>
        </w:rPr>
        <w:t>0.938</w:t>
      </w:r>
      <w:r w:rsidRPr="00014C11">
        <w:rPr>
          <w:rFonts w:ascii="Times New Roman" w:eastAsia="標楷體" w:hAnsi="Times New Roman" w:cs="Times New Roman"/>
        </w:rPr>
        <w:t>。傳統統計方法中，</w:t>
      </w:r>
      <w:r w:rsidRPr="00014C11">
        <w:rPr>
          <w:rFonts w:ascii="Times New Roman" w:eastAsia="標楷體" w:hAnsi="Times New Roman" w:cs="Times New Roman"/>
        </w:rPr>
        <w:t>LDA</w:t>
      </w:r>
      <w:r w:rsidRPr="00014C11">
        <w:rPr>
          <w:rFonts w:ascii="Times New Roman" w:eastAsia="標楷體" w:hAnsi="Times New Roman" w:cs="Times New Roman"/>
        </w:rPr>
        <w:t xml:space="preserve"> </w:t>
      </w:r>
      <w:r w:rsidRPr="00014C11">
        <w:rPr>
          <w:rFonts w:ascii="Times New Roman" w:eastAsia="標楷體" w:hAnsi="Times New Roman" w:cs="Times New Roman"/>
        </w:rPr>
        <w:t>的</w:t>
      </w:r>
      <w:r w:rsidRPr="00014C11">
        <w:rPr>
          <w:rFonts w:ascii="Times New Roman" w:eastAsia="標楷體" w:hAnsi="Times New Roman" w:cs="Times New Roman"/>
        </w:rPr>
        <w:t xml:space="preserve"> AUC </w:t>
      </w:r>
      <w:r w:rsidRPr="00014C11">
        <w:rPr>
          <w:rFonts w:ascii="Times New Roman" w:eastAsia="標楷體" w:hAnsi="Times New Roman" w:cs="Times New Roman"/>
        </w:rPr>
        <w:t>與</w:t>
      </w:r>
      <w:r w:rsidRPr="00014C11">
        <w:rPr>
          <w:rFonts w:ascii="Times New Roman" w:eastAsia="標楷體" w:hAnsi="Times New Roman" w:cs="Times New Roman"/>
        </w:rPr>
        <w:t xml:space="preserve"> LR </w:t>
      </w:r>
      <w:r w:rsidRPr="00014C11">
        <w:rPr>
          <w:rFonts w:ascii="Times New Roman" w:eastAsia="標楷體" w:hAnsi="Times New Roman" w:cs="Times New Roman"/>
        </w:rPr>
        <w:t>幾乎一致（高血糖</w:t>
      </w:r>
      <w:r w:rsidRPr="00014C11">
        <w:rPr>
          <w:rFonts w:ascii="Times New Roman" w:eastAsia="標楷體" w:hAnsi="Times New Roman" w:cs="Times New Roman"/>
        </w:rPr>
        <w:t xml:space="preserve"> </w:t>
      </w:r>
      <w:r w:rsidRPr="00014C11">
        <w:rPr>
          <w:rFonts w:ascii="Times New Roman" w:eastAsia="標楷體" w:hAnsi="Times New Roman" w:cs="Times New Roman"/>
        </w:rPr>
        <w:t>0.936</w:t>
      </w:r>
      <w:r w:rsidRPr="00014C11">
        <w:rPr>
          <w:rFonts w:ascii="Times New Roman" w:eastAsia="標楷體" w:hAnsi="Times New Roman" w:cs="Times New Roman"/>
        </w:rPr>
        <w:t>、高血脂</w:t>
      </w:r>
      <w:r w:rsidRPr="00014C11">
        <w:rPr>
          <w:rFonts w:ascii="Times New Roman" w:eastAsia="標楷體" w:hAnsi="Times New Roman" w:cs="Times New Roman"/>
        </w:rPr>
        <w:t xml:space="preserve"> </w:t>
      </w:r>
      <w:r w:rsidRPr="00014C11">
        <w:rPr>
          <w:rFonts w:ascii="Times New Roman" w:eastAsia="標楷體" w:hAnsi="Times New Roman" w:cs="Times New Roman"/>
        </w:rPr>
        <w:t>0.867</w:t>
      </w:r>
      <w:r w:rsidRPr="00014C11">
        <w:rPr>
          <w:rFonts w:ascii="Times New Roman" w:eastAsia="標楷體" w:hAnsi="Times New Roman" w:cs="Times New Roman"/>
        </w:rPr>
        <w:t>），但在類別不平衡資料中</w:t>
      </w:r>
      <w:r w:rsidRPr="00014C11">
        <w:rPr>
          <w:rFonts w:ascii="Times New Roman" w:eastAsia="標楷體" w:hAnsi="Times New Roman" w:cs="Times New Roman"/>
        </w:rPr>
        <w:t xml:space="preserve"> Sensitivity </w:t>
      </w:r>
      <w:r w:rsidRPr="00014C11">
        <w:rPr>
          <w:rFonts w:ascii="Times New Roman" w:eastAsia="標楷體" w:hAnsi="Times New Roman" w:cs="Times New Roman"/>
        </w:rPr>
        <w:t>極低（高血壓僅</w:t>
      </w:r>
      <w:r w:rsidRPr="00014C11">
        <w:rPr>
          <w:rFonts w:ascii="Times New Roman" w:eastAsia="標楷體" w:hAnsi="Times New Roman" w:cs="Times New Roman"/>
        </w:rPr>
        <w:t xml:space="preserve"> </w:t>
      </w:r>
      <w:r w:rsidRPr="00014C11">
        <w:rPr>
          <w:rFonts w:ascii="Times New Roman" w:eastAsia="標楷體" w:hAnsi="Times New Roman" w:cs="Times New Roman"/>
        </w:rPr>
        <w:t>0.037</w:t>
      </w:r>
      <w:r w:rsidRPr="00014C11">
        <w:rPr>
          <w:rFonts w:ascii="Times New Roman" w:eastAsia="標楷體" w:hAnsi="Times New Roman" w:cs="Times New Roman"/>
        </w:rPr>
        <w:t>），顯示其決策邊界受類別先驗機率差異影響；</w:t>
      </w:r>
      <w:r w:rsidRPr="00014C11">
        <w:rPr>
          <w:rFonts w:ascii="Times New Roman" w:eastAsia="標楷體" w:hAnsi="Times New Roman" w:cs="Times New Roman"/>
        </w:rPr>
        <w:t>NB</w:t>
      </w:r>
      <w:r w:rsidRPr="00014C11">
        <w:rPr>
          <w:rFonts w:ascii="Times New Roman" w:eastAsia="標楷體" w:hAnsi="Times New Roman" w:cs="Times New Roman"/>
        </w:rPr>
        <w:t xml:space="preserve"> </w:t>
      </w:r>
      <w:r w:rsidRPr="00014C11">
        <w:rPr>
          <w:rFonts w:ascii="Times New Roman" w:eastAsia="標楷體" w:hAnsi="Times New Roman" w:cs="Times New Roman"/>
        </w:rPr>
        <w:t>則因特徵獨立性假設受限（生理指標間存在相關性，如</w:t>
      </w:r>
      <w:r w:rsidRPr="00014C11">
        <w:rPr>
          <w:rFonts w:ascii="Times New Roman" w:eastAsia="標楷體" w:hAnsi="Times New Roman" w:cs="Times New Roman"/>
        </w:rPr>
        <w:t xml:space="preserve"> SBP </w:t>
      </w:r>
      <w:r w:rsidRPr="00014C11">
        <w:rPr>
          <w:rFonts w:ascii="Times New Roman" w:eastAsia="標楷體" w:hAnsi="Times New Roman" w:cs="Times New Roman"/>
        </w:rPr>
        <w:t>與</w:t>
      </w:r>
      <w:r w:rsidRPr="00014C11">
        <w:rPr>
          <w:rFonts w:ascii="Times New Roman" w:eastAsia="標楷體" w:hAnsi="Times New Roman" w:cs="Times New Roman"/>
        </w:rPr>
        <w:t xml:space="preserve"> </w:t>
      </w:r>
      <w:r w:rsidRPr="00014C11">
        <w:rPr>
          <w:rFonts w:ascii="Times New Roman" w:eastAsia="標楷體" w:hAnsi="Times New Roman" w:cs="Times New Roman"/>
        </w:rPr>
        <w:t>DBP</w:t>
      </w:r>
      <w:r w:rsidRPr="00014C11">
        <w:rPr>
          <w:rFonts w:ascii="Times New Roman" w:eastAsia="標楷體" w:hAnsi="Times New Roman" w:cs="Times New Roman"/>
        </w:rPr>
        <w:t>），</w:t>
      </w:r>
      <w:r w:rsidRPr="00014C11">
        <w:rPr>
          <w:rFonts w:ascii="Times New Roman" w:eastAsia="標楷體" w:hAnsi="Times New Roman" w:cs="Times New Roman"/>
        </w:rPr>
        <w:t>AUC</w:t>
      </w:r>
      <w:r w:rsidRPr="00014C11">
        <w:rPr>
          <w:rFonts w:ascii="Times New Roman" w:eastAsia="標楷體" w:hAnsi="Times New Roman" w:cs="Times New Roman"/>
        </w:rPr>
        <w:t xml:space="preserve"> </w:t>
      </w:r>
      <w:r w:rsidRPr="00014C11">
        <w:rPr>
          <w:rFonts w:ascii="Times New Roman" w:eastAsia="標楷體" w:hAnsi="Times New Roman" w:cs="Times New Roman"/>
        </w:rPr>
        <w:t>低於</w:t>
      </w:r>
      <w:r w:rsidRPr="00014C11">
        <w:rPr>
          <w:rFonts w:ascii="Times New Roman" w:eastAsia="標楷體" w:hAnsi="Times New Roman" w:cs="Times New Roman"/>
        </w:rPr>
        <w:t xml:space="preserve"> LR </w:t>
      </w:r>
      <w:r w:rsidRPr="00014C11">
        <w:rPr>
          <w:rFonts w:ascii="Times New Roman" w:eastAsia="標楷體" w:hAnsi="Times New Roman" w:cs="Times New Roman"/>
        </w:rPr>
        <w:t>約</w:t>
      </w:r>
      <w:r w:rsidRPr="00014C11">
        <w:rPr>
          <w:rFonts w:ascii="Times New Roman" w:eastAsia="標楷體" w:hAnsi="Times New Roman" w:cs="Times New Roman"/>
        </w:rPr>
        <w:t xml:space="preserve"> 1~2%</w:t>
      </w:r>
      <w:r w:rsidRPr="00014C11">
        <w:rPr>
          <w:rFonts w:ascii="Times New Roman" w:eastAsia="標楷體" w:hAnsi="Times New Roman" w:cs="Times New Roman"/>
        </w:rPr>
        <w:t>。</w:t>
      </w:r>
      <w:r w:rsidRPr="00014C11">
        <w:rPr>
          <w:rFonts w:ascii="Times New Roman" w:eastAsia="標楷體" w:hAnsi="Times New Roman" w:cs="Times New Roman"/>
        </w:rPr>
        <w:t xml:space="preserve">Random Forest </w:t>
      </w:r>
      <w:r w:rsidRPr="00014C11">
        <w:rPr>
          <w:rFonts w:ascii="Times New Roman" w:eastAsia="標楷體" w:hAnsi="Times New Roman" w:cs="Times New Roman"/>
        </w:rPr>
        <w:t>與</w:t>
      </w:r>
      <w:r w:rsidRPr="00014C11">
        <w:rPr>
          <w:rFonts w:ascii="Times New Roman" w:eastAsia="標楷體" w:hAnsi="Times New Roman" w:cs="Times New Roman"/>
        </w:rPr>
        <w:t xml:space="preserve"> XGBoost </w:t>
      </w:r>
      <w:r w:rsidRPr="00014C11">
        <w:rPr>
          <w:rFonts w:ascii="Times New Roman" w:eastAsia="標楷體" w:hAnsi="Times New Roman" w:cs="Times New Roman"/>
        </w:rPr>
        <w:t>在部分任務中表現略優，但同樣傾向保守預測。整體而言，簡單的線性模型在結構化健檢資料上已具備與複雜模型相當的排序能力。值得注意的是，高血糖預測的整體效能最佳（</w:t>
      </w:r>
      <w:r w:rsidRPr="00014C11">
        <w:rPr>
          <w:rFonts w:ascii="Times New Roman" w:eastAsia="標楷體" w:hAnsi="Times New Roman" w:cs="Times New Roman"/>
        </w:rPr>
        <w:t>所有模型</w:t>
      </w:r>
      <w:r w:rsidRPr="00014C11">
        <w:rPr>
          <w:rFonts w:ascii="Times New Roman" w:eastAsia="標楷體" w:hAnsi="Times New Roman" w:cs="Times New Roman"/>
        </w:rPr>
        <w:t xml:space="preserve"> AUC &gt; </w:t>
      </w:r>
      <w:r w:rsidRPr="00014C11">
        <w:rPr>
          <w:rFonts w:ascii="Times New Roman" w:eastAsia="標楷體" w:hAnsi="Times New Roman" w:cs="Times New Roman"/>
        </w:rPr>
        <w:t>0.83</w:t>
      </w:r>
      <w:r w:rsidRPr="00014C11">
        <w:rPr>
          <w:rFonts w:ascii="Times New Roman" w:eastAsia="標楷體" w:hAnsi="Times New Roman" w:cs="Times New Roman"/>
        </w:rPr>
        <w:t>），可能因空腹血糖本身即為診斷指標的直接前驅，具有極高的預測價值。</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發現三：疾病特異性預測因子</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 xml:space="preserve">SHAP </w:t>
      </w:r>
      <w:r w:rsidRPr="00014C11">
        <w:rPr>
          <w:rFonts w:ascii="Times New Roman" w:eastAsia="標楷體" w:hAnsi="Times New Roman" w:cs="Times New Roman"/>
        </w:rPr>
        <w:t>特徵重要性分析清楚呈現了疾病特異性：高血壓預測以血壓相關特徵（</w:t>
      </w:r>
      <w:r w:rsidRPr="00014C11">
        <w:rPr>
          <w:rFonts w:ascii="Times New Roman" w:eastAsia="標楷體" w:hAnsi="Times New Roman" w:cs="Times New Roman"/>
        </w:rPr>
        <w:t>SBP</w:t>
      </w:r>
      <w:r w:rsidRPr="00014C11">
        <w:rPr>
          <w:rFonts w:ascii="Times New Roman" w:eastAsia="標楷體" w:hAnsi="Times New Roman" w:cs="Times New Roman"/>
        </w:rPr>
        <w:t>、</w:t>
      </w:r>
      <w:r w:rsidRPr="00014C11">
        <w:rPr>
          <w:rFonts w:ascii="Times New Roman" w:eastAsia="標楷體" w:hAnsi="Times New Roman" w:cs="Times New Roman"/>
        </w:rPr>
        <w:t>DBP</w:t>
      </w:r>
      <w:r w:rsidRPr="00014C11">
        <w:rPr>
          <w:rFonts w:ascii="Times New Roman" w:eastAsia="標楷體" w:hAnsi="Times New Roman" w:cs="Times New Roman"/>
        </w:rPr>
        <w:t>）為主；高血糖預測以空腹血糖（</w:t>
      </w:r>
      <w:r w:rsidRPr="00014C11">
        <w:rPr>
          <w:rFonts w:ascii="Times New Roman" w:eastAsia="標楷體" w:hAnsi="Times New Roman" w:cs="Times New Roman"/>
        </w:rPr>
        <w:t>FBG</w:t>
      </w:r>
      <w:r w:rsidRPr="00014C11">
        <w:rPr>
          <w:rFonts w:ascii="Times New Roman" w:eastAsia="標楷體" w:hAnsi="Times New Roman" w:cs="Times New Roman"/>
        </w:rPr>
        <w:t>）及代謝相關指標為主；高血脂預測則以總膽固醇（</w:t>
      </w:r>
      <w:r w:rsidRPr="00014C11">
        <w:rPr>
          <w:rFonts w:ascii="Times New Roman" w:eastAsia="標楷體" w:hAnsi="Times New Roman" w:cs="Times New Roman"/>
        </w:rPr>
        <w:t>TC</w:t>
      </w:r>
      <w:r w:rsidRPr="00014C11">
        <w:rPr>
          <w:rFonts w:ascii="Times New Roman" w:eastAsia="標楷體" w:hAnsi="Times New Roman" w:cs="Times New Roman"/>
        </w:rPr>
        <w:t>）與腎功能變化（</w:t>
      </w:r>
      <w:r w:rsidRPr="00014C11">
        <w:rPr>
          <w:rFonts w:ascii="Times New Roman" w:eastAsia="標楷體" w:hAnsi="Times New Roman" w:cs="Times New Roman"/>
        </w:rPr>
        <w:t>ΔeGFR</w:t>
      </w:r>
      <w:r w:rsidRPr="00014C11">
        <w:rPr>
          <w:rFonts w:ascii="Times New Roman" w:eastAsia="標楷體" w:hAnsi="Times New Roman" w:cs="Times New Roman"/>
        </w:rPr>
        <w:t>）最為重要。這些發現符合臨床直覺，也為個人化風險評估與健康管理建議提供了明確的指引。</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發現四：符號回歸的可解釋性潛力</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lastRenderedPageBreak/>
        <w:t>符號回歸（</w:t>
      </w:r>
      <w:r w:rsidRPr="00014C11">
        <w:rPr>
          <w:rFonts w:ascii="Times New Roman" w:eastAsia="標楷體" w:hAnsi="Times New Roman" w:cs="Times New Roman"/>
        </w:rPr>
        <w:t>PySR</w:t>
      </w:r>
      <w:r w:rsidRPr="00014C11">
        <w:rPr>
          <w:rFonts w:ascii="Times New Roman" w:eastAsia="標楷體" w:hAnsi="Times New Roman" w:cs="Times New Roman"/>
        </w:rPr>
        <w:t>）實驗發現了極簡但有效的預測公式，例如高血糖預測僅使</w:t>
      </w:r>
      <w:r w:rsidRPr="00014C11">
        <w:rPr>
          <w:rFonts w:ascii="Times New Roman" w:eastAsia="標楷體" w:hAnsi="Times New Roman" w:cs="Times New Roman"/>
        </w:rPr>
        <w:t>用</w:t>
      </w:r>
      <w:r w:rsidRPr="00014C11">
        <w:rPr>
          <w:rFonts w:ascii="Times New Roman" w:eastAsia="標楷體" w:hAnsi="Times New Roman" w:cs="Times New Roman"/>
        </w:rPr>
        <w:t xml:space="preserve"> </w:t>
      </w:r>
      <m:oMath>
        <m:r>
          <w:rPr>
            <w:rFonts w:ascii="Cambria Math" w:eastAsia="標楷體" w:hAnsi="Cambria Math" w:cs="Times New Roman"/>
          </w:rPr>
          <m:t>0.114</m:t>
        </m:r>
        <m:r>
          <m:rPr>
            <m:sty m:val="p"/>
          </m:rPr>
          <w:rPr>
            <w:rFonts w:ascii="Cambria Math" w:eastAsia="標楷體" w:hAnsi="Cambria Math" w:cs="Times New Roman"/>
          </w:rPr>
          <m:t>×</m:t>
        </m:r>
        <m:r>
          <w:rPr>
            <w:rFonts w:ascii="Cambria Math" w:eastAsia="標楷體" w:hAnsi="Cambria Math" w:cs="Times New Roman"/>
          </w:rPr>
          <m:t>FB</m:t>
        </m:r>
        <m:sSub>
          <m:sSubPr>
            <m:ctrlPr>
              <w:rPr>
                <w:rFonts w:ascii="Cambria Math" w:eastAsia="標楷體" w:hAnsi="Cambria Math" w:cs="Times New Roman"/>
              </w:rPr>
            </m:ctrlPr>
          </m:sSubPr>
          <m:e>
            <m:r>
              <w:rPr>
                <w:rFonts w:ascii="Cambria Math" w:eastAsia="標楷體" w:hAnsi="Cambria Math" w:cs="Times New Roman"/>
              </w:rPr>
              <m:t>G</m:t>
            </m:r>
          </m:e>
          <m:sub>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1</m:t>
            </m:r>
          </m:sub>
        </m:sSub>
      </m:oMath>
      <w:r w:rsidRPr="00014C11">
        <w:rPr>
          <w:rFonts w:ascii="Times New Roman" w:eastAsia="標楷體" w:hAnsi="Times New Roman" w:cs="Times New Roman"/>
        </w:rPr>
        <w:t xml:space="preserve"> </w:t>
      </w:r>
      <w:r w:rsidRPr="00014C11">
        <w:rPr>
          <w:rFonts w:ascii="Times New Roman" w:eastAsia="標楷體" w:hAnsi="Times New Roman" w:cs="Times New Roman"/>
        </w:rPr>
        <w:t>即可達到</w:t>
      </w:r>
      <w:r w:rsidRPr="00014C11">
        <w:rPr>
          <w:rFonts w:ascii="Times New Roman" w:eastAsia="標楷體" w:hAnsi="Times New Roman" w:cs="Times New Roman"/>
        </w:rPr>
        <w:t xml:space="preserve"> AUC </w:t>
      </w:r>
      <w:r w:rsidRPr="00014C11">
        <w:rPr>
          <w:rFonts w:ascii="Times New Roman" w:eastAsia="標楷體" w:hAnsi="Times New Roman" w:cs="Times New Roman"/>
        </w:rPr>
        <w:t>0.943</w:t>
      </w:r>
      <w:r w:rsidRPr="00014C11">
        <w:rPr>
          <w:rFonts w:ascii="Times New Roman" w:eastAsia="標楷體" w:hAnsi="Times New Roman" w:cs="Times New Roman"/>
        </w:rPr>
        <w:t>，甚至略優於</w:t>
      </w:r>
      <w:r w:rsidRPr="00014C11">
        <w:rPr>
          <w:rFonts w:ascii="Times New Roman" w:eastAsia="標楷體" w:hAnsi="Times New Roman" w:cs="Times New Roman"/>
        </w:rPr>
        <w:t xml:space="preserve"> Logistic </w:t>
      </w:r>
      <w:r w:rsidRPr="00014C11">
        <w:rPr>
          <w:rFonts w:ascii="Times New Roman" w:eastAsia="標楷體" w:hAnsi="Times New Roman" w:cs="Times New Roman"/>
        </w:rPr>
        <w:t>Regression</w:t>
      </w:r>
      <w:r w:rsidRPr="00014C11">
        <w:rPr>
          <w:rFonts w:ascii="Times New Roman" w:eastAsia="標楷體" w:hAnsi="Times New Roman" w:cs="Times New Roman"/>
        </w:rPr>
        <w:t>。這些簡單公式易於在基層醫療單位實施，展現了可解釋</w:t>
      </w:r>
      <w:r w:rsidRPr="00014C11">
        <w:rPr>
          <w:rFonts w:ascii="Times New Roman" w:eastAsia="標楷體" w:hAnsi="Times New Roman" w:cs="Times New Roman"/>
        </w:rPr>
        <w:t xml:space="preserve"> AI </w:t>
      </w:r>
      <w:r w:rsidRPr="00014C11">
        <w:rPr>
          <w:rFonts w:ascii="Times New Roman" w:eastAsia="標楷體" w:hAnsi="Times New Roman" w:cs="Times New Roman"/>
        </w:rPr>
        <w:t>在實務應用的潛力。</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發現五：類別不平衡處理的方法等價性</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針對三高疾病陽性率偏低（</w:t>
      </w:r>
      <w:r w:rsidRPr="00014C11">
        <w:rPr>
          <w:rFonts w:ascii="Times New Roman" w:eastAsia="標楷體" w:hAnsi="Times New Roman" w:cs="Times New Roman"/>
        </w:rPr>
        <w:t>5.5%~16.7%</w:t>
      </w:r>
      <w:r w:rsidRPr="00014C11">
        <w:rPr>
          <w:rFonts w:ascii="Times New Roman" w:eastAsia="標楷體" w:hAnsi="Times New Roman" w:cs="Times New Roman"/>
        </w:rPr>
        <w:t>）的類別不平衡問題，本研究比較了</w:t>
      </w:r>
      <w:r w:rsidRPr="00014C11">
        <w:rPr>
          <w:rFonts w:ascii="Times New Roman" w:eastAsia="標楷體" w:hAnsi="Times New Roman" w:cs="Times New Roman"/>
        </w:rPr>
        <w:t xml:space="preserve"> class_weight</w:t>
      </w:r>
      <w:r w:rsidRPr="00014C11">
        <w:rPr>
          <w:rFonts w:ascii="Times New Roman" w:eastAsia="標楷體" w:hAnsi="Times New Roman" w:cs="Times New Roman"/>
        </w:rPr>
        <w:t>、</w:t>
      </w:r>
      <w:r w:rsidRPr="00014C11">
        <w:rPr>
          <w:rFonts w:ascii="Times New Roman" w:eastAsia="標楷體" w:hAnsi="Times New Roman" w:cs="Times New Roman"/>
        </w:rPr>
        <w:t>SMOTE</w:t>
      </w:r>
      <w:r w:rsidRPr="00014C11">
        <w:rPr>
          <w:rFonts w:ascii="Times New Roman" w:eastAsia="標楷體" w:hAnsi="Times New Roman" w:cs="Times New Roman"/>
        </w:rPr>
        <w:t>、</w:t>
      </w:r>
      <w:r w:rsidRPr="00014C11">
        <w:rPr>
          <w:rFonts w:ascii="Times New Roman" w:eastAsia="標楷體" w:hAnsi="Times New Roman" w:cs="Times New Roman"/>
        </w:rPr>
        <w:t xml:space="preserve">ADASYN </w:t>
      </w:r>
      <w:r w:rsidRPr="00014C11">
        <w:rPr>
          <w:rFonts w:ascii="Times New Roman" w:eastAsia="標楷體" w:hAnsi="Times New Roman" w:cs="Times New Roman"/>
        </w:rPr>
        <w:t>與</w:t>
      </w:r>
      <w:r w:rsidRPr="00014C11">
        <w:rPr>
          <w:rFonts w:ascii="Times New Roman" w:eastAsia="標楷體" w:hAnsi="Times New Roman" w:cs="Times New Roman"/>
        </w:rPr>
        <w:t xml:space="preserve"> RandomUnderSampler </w:t>
      </w:r>
      <w:r w:rsidRPr="00014C11">
        <w:rPr>
          <w:rFonts w:ascii="Times New Roman" w:eastAsia="標楷體" w:hAnsi="Times New Roman" w:cs="Times New Roman"/>
        </w:rPr>
        <w:t>四種處理方法。結果顯示四種方法的</w:t>
      </w:r>
      <w:r w:rsidRPr="00014C11">
        <w:rPr>
          <w:rFonts w:ascii="Times New Roman" w:eastAsia="標楷體" w:hAnsi="Times New Roman" w:cs="Times New Roman"/>
        </w:rPr>
        <w:t xml:space="preserve"> AUC </w:t>
      </w:r>
      <w:r w:rsidRPr="00014C11">
        <w:rPr>
          <w:rFonts w:ascii="Times New Roman" w:eastAsia="標楷體" w:hAnsi="Times New Roman" w:cs="Times New Roman"/>
        </w:rPr>
        <w:t>差異小於</w:t>
      </w:r>
      <w:r w:rsidRPr="00014C11">
        <w:rPr>
          <w:rFonts w:ascii="Times New Roman" w:eastAsia="標楷體" w:hAnsi="Times New Roman" w:cs="Times New Roman"/>
        </w:rPr>
        <w:t xml:space="preserve"> </w:t>
      </w:r>
      <w:r w:rsidRPr="00014C11">
        <w:rPr>
          <w:rFonts w:ascii="Times New Roman" w:eastAsia="標楷體" w:hAnsi="Times New Roman" w:cs="Times New Roman"/>
        </w:rPr>
        <w:t>0.2%</w:t>
      </w:r>
      <w:r w:rsidRPr="00014C11">
        <w:rPr>
          <w:rFonts w:ascii="Times New Roman" w:eastAsia="標楷體" w:hAnsi="Times New Roman" w:cs="Times New Roman"/>
        </w:rPr>
        <w:t>，</w:t>
      </w:r>
      <w:r w:rsidRPr="00014C11">
        <w:rPr>
          <w:rFonts w:ascii="Times New Roman" w:eastAsia="標楷體" w:hAnsi="Times New Roman" w:cs="Times New Roman"/>
        </w:rPr>
        <w:t>Sensitivity</w:t>
      </w:r>
      <w:r w:rsidRPr="00014C11">
        <w:rPr>
          <w:rFonts w:ascii="Times New Roman" w:eastAsia="標楷體" w:hAnsi="Times New Roman" w:cs="Times New Roman"/>
        </w:rPr>
        <w:t xml:space="preserve"> </w:t>
      </w:r>
      <w:r w:rsidRPr="00014C11">
        <w:rPr>
          <w:rFonts w:ascii="Times New Roman" w:eastAsia="標楷體" w:hAnsi="Times New Roman" w:cs="Times New Roman"/>
        </w:rPr>
        <w:t>提升幅度亦近乎等同，顯示方法選擇對最終效能影響甚微。其中</w:t>
      </w:r>
      <w:r w:rsidRPr="00014C11">
        <w:rPr>
          <w:rFonts w:ascii="Times New Roman" w:eastAsia="標楷體" w:hAnsi="Times New Roman" w:cs="Times New Roman"/>
        </w:rPr>
        <w:t xml:space="preserve"> </w:t>
      </w:r>
      <w:r w:rsidRPr="00014C11">
        <w:rPr>
          <w:rFonts w:ascii="Times New Roman" w:eastAsia="標楷體" w:hAnsi="Times New Roman" w:cs="Times New Roman"/>
        </w:rPr>
        <w:t>class_weight</w:t>
      </w:r>
      <w:r w:rsidRPr="00014C11">
        <w:rPr>
          <w:rFonts w:ascii="Times New Roman" w:eastAsia="標楷體" w:hAnsi="Times New Roman" w:cs="Times New Roman"/>
        </w:rPr>
        <w:t>（</w:t>
      </w:r>
      <w:r w:rsidRPr="00014C11">
        <w:rPr>
          <w:rFonts w:ascii="Times New Roman" w:eastAsia="標楷體" w:hAnsi="Times New Roman" w:cs="Times New Roman"/>
        </w:rPr>
        <w:t>balanced</w:t>
      </w:r>
      <w:r w:rsidRPr="00014C11">
        <w:rPr>
          <w:rFonts w:ascii="Times New Roman" w:eastAsia="標楷體" w:hAnsi="Times New Roman" w:cs="Times New Roman"/>
        </w:rPr>
        <w:t xml:space="preserve"> </w:t>
      </w:r>
      <w:r w:rsidRPr="00014C11">
        <w:rPr>
          <w:rFonts w:ascii="Times New Roman" w:eastAsia="標楷體" w:hAnsi="Times New Roman" w:cs="Times New Roman"/>
        </w:rPr>
        <w:t>設定）因不需生成合成樣本、不改變資料分佈，為最簡潔有效的選擇。</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發現六：健檢次數的不對稱效益</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健檢次數比較實驗揭示了縱向資料對不同疾病的差異化效益。高血壓預測從</w:t>
      </w:r>
      <w:r w:rsidRPr="00014C11">
        <w:rPr>
          <w:rFonts w:ascii="Times New Roman" w:eastAsia="標楷體" w:hAnsi="Times New Roman" w:cs="Times New Roman"/>
        </w:rPr>
        <w:t xml:space="preserve"> 1 </w:t>
      </w:r>
      <w:r w:rsidRPr="00014C11">
        <w:rPr>
          <w:rFonts w:ascii="Times New Roman" w:eastAsia="標楷體" w:hAnsi="Times New Roman" w:cs="Times New Roman"/>
        </w:rPr>
        <w:t>次健檢（</w:t>
      </w:r>
      <w:r w:rsidRPr="00014C11">
        <w:rPr>
          <w:rFonts w:ascii="Times New Roman" w:eastAsia="標楷體" w:hAnsi="Times New Roman" w:cs="Times New Roman"/>
        </w:rPr>
        <w:t>AUC</w:t>
      </w:r>
      <w:r w:rsidRPr="00014C11">
        <w:rPr>
          <w:rFonts w:ascii="Times New Roman" w:eastAsia="標楷體" w:hAnsi="Times New Roman" w:cs="Times New Roman"/>
        </w:rPr>
        <w:t xml:space="preserve"> </w:t>
      </w:r>
      <w:r w:rsidRPr="00014C11">
        <w:rPr>
          <w:rFonts w:ascii="Times New Roman" w:eastAsia="標楷體" w:hAnsi="Times New Roman" w:cs="Times New Roman"/>
        </w:rPr>
        <w:t>0.666</w:t>
      </w:r>
      <w:r w:rsidRPr="00014C11">
        <w:rPr>
          <w:rFonts w:ascii="Times New Roman" w:eastAsia="標楷體" w:hAnsi="Times New Roman" w:cs="Times New Roman"/>
        </w:rPr>
        <w:t>）到</w:t>
      </w:r>
      <w:r w:rsidRPr="00014C11">
        <w:rPr>
          <w:rFonts w:ascii="Times New Roman" w:eastAsia="標楷體" w:hAnsi="Times New Roman" w:cs="Times New Roman"/>
        </w:rPr>
        <w:t xml:space="preserve"> 4 </w:t>
      </w:r>
      <w:r w:rsidRPr="00014C11">
        <w:rPr>
          <w:rFonts w:ascii="Times New Roman" w:eastAsia="標楷體" w:hAnsi="Times New Roman" w:cs="Times New Roman"/>
        </w:rPr>
        <w:t>次健檢（</w:t>
      </w:r>
      <w:r w:rsidRPr="00014C11">
        <w:rPr>
          <w:rFonts w:ascii="Times New Roman" w:eastAsia="標楷體" w:hAnsi="Times New Roman" w:cs="Times New Roman"/>
        </w:rPr>
        <w:t>AUC</w:t>
      </w:r>
      <w:r w:rsidRPr="00014C11">
        <w:rPr>
          <w:rFonts w:ascii="Times New Roman" w:eastAsia="標楷體" w:hAnsi="Times New Roman" w:cs="Times New Roman"/>
        </w:rPr>
        <w:t xml:space="preserve"> </w:t>
      </w:r>
      <w:r w:rsidRPr="00014C11">
        <w:rPr>
          <w:rFonts w:ascii="Times New Roman" w:eastAsia="標楷體" w:hAnsi="Times New Roman" w:cs="Times New Roman"/>
        </w:rPr>
        <w:t>0.835</w:t>
      </w:r>
      <w:r w:rsidRPr="00014C11">
        <w:rPr>
          <w:rFonts w:ascii="Times New Roman" w:eastAsia="標楷體" w:hAnsi="Times New Roman" w:cs="Times New Roman"/>
        </w:rPr>
        <w:t>）提升達</w:t>
      </w:r>
      <w:r w:rsidRPr="00014C11">
        <w:rPr>
          <w:rFonts w:ascii="Times New Roman" w:eastAsia="標楷體" w:hAnsi="Times New Roman" w:cs="Times New Roman"/>
        </w:rPr>
        <w:t xml:space="preserve"> 16.9 </w:t>
      </w:r>
      <w:r w:rsidRPr="00014C11">
        <w:rPr>
          <w:rFonts w:ascii="Times New Roman" w:eastAsia="標楷體" w:hAnsi="Times New Roman" w:cs="Times New Roman"/>
        </w:rPr>
        <w:t>個百分點，顯示長期血壓縱向趨勢對高血壓預測具有關鍵價值。相對地，高血糖與高血脂的改善幅度有限（均約</w:t>
      </w:r>
      <w:r w:rsidRPr="00014C11">
        <w:rPr>
          <w:rFonts w:ascii="Times New Roman" w:eastAsia="標楷體" w:hAnsi="Times New Roman" w:cs="Times New Roman"/>
        </w:rPr>
        <w:t xml:space="preserve"> </w:t>
      </w:r>
      <w:r w:rsidRPr="00014C11">
        <w:rPr>
          <w:rFonts w:ascii="Times New Roman" w:eastAsia="標楷體" w:hAnsi="Times New Roman" w:cs="Times New Roman"/>
        </w:rPr>
        <w:t>1.5%</w:t>
      </w:r>
      <w:r w:rsidRPr="00014C11">
        <w:rPr>
          <w:rFonts w:ascii="Times New Roman" w:eastAsia="標楷體" w:hAnsi="Times New Roman" w:cs="Times New Roman"/>
        </w:rPr>
        <w:t>），因其單次健檢資料已具備高預測力。此發現對健檢頻率建</w:t>
      </w:r>
      <w:r w:rsidRPr="00014C11">
        <w:rPr>
          <w:rFonts w:ascii="Times New Roman" w:eastAsia="標楷體" w:hAnsi="Times New Roman" w:cs="Times New Roman"/>
        </w:rPr>
        <w:t>議具有實務意義：高血壓高風險族群尤應維持定期健檢以累積縱向資料。</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發現七：特徵精簡的可行性</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特徵選擇消融實驗顯示，僅使用</w:t>
      </w:r>
      <w:r w:rsidRPr="00014C11">
        <w:rPr>
          <w:rFonts w:ascii="Times New Roman" w:eastAsia="標楷體" w:hAnsi="Times New Roman" w:cs="Times New Roman"/>
        </w:rPr>
        <w:t xml:space="preserve"> SHAP </w:t>
      </w:r>
      <w:r w:rsidRPr="00014C11">
        <w:rPr>
          <w:rFonts w:ascii="Times New Roman" w:eastAsia="標楷體" w:hAnsi="Times New Roman" w:cs="Times New Roman"/>
        </w:rPr>
        <w:t>排序前</w:t>
      </w:r>
      <w:r w:rsidRPr="00014C11">
        <w:rPr>
          <w:rFonts w:ascii="Times New Roman" w:eastAsia="標楷體" w:hAnsi="Times New Roman" w:cs="Times New Roman"/>
        </w:rPr>
        <w:t xml:space="preserve"> 5 </w:t>
      </w:r>
      <w:r w:rsidRPr="00014C11">
        <w:rPr>
          <w:rFonts w:ascii="Times New Roman" w:eastAsia="標楷體" w:hAnsi="Times New Roman" w:cs="Times New Roman"/>
        </w:rPr>
        <w:t>個重要特徵，</w:t>
      </w:r>
      <w:r w:rsidRPr="00014C11">
        <w:rPr>
          <w:rFonts w:ascii="Times New Roman" w:eastAsia="標楷體" w:hAnsi="Times New Roman" w:cs="Times New Roman"/>
        </w:rPr>
        <w:t>LR</w:t>
      </w:r>
      <w:r w:rsidRPr="00014C11">
        <w:rPr>
          <w:rFonts w:ascii="Times New Roman" w:eastAsia="標楷體" w:hAnsi="Times New Roman" w:cs="Times New Roman"/>
        </w:rPr>
        <w:t xml:space="preserve"> </w:t>
      </w:r>
      <w:r w:rsidRPr="00014C11">
        <w:rPr>
          <w:rFonts w:ascii="Times New Roman" w:eastAsia="標楷體" w:hAnsi="Times New Roman" w:cs="Times New Roman"/>
        </w:rPr>
        <w:t>模型在三項任務中的</w:t>
      </w:r>
      <w:r w:rsidRPr="00014C11">
        <w:rPr>
          <w:rFonts w:ascii="Times New Roman" w:eastAsia="標楷體" w:hAnsi="Times New Roman" w:cs="Times New Roman"/>
        </w:rPr>
        <w:t xml:space="preserve"> AUC </w:t>
      </w:r>
      <w:r w:rsidRPr="00014C11">
        <w:rPr>
          <w:rFonts w:ascii="Times New Roman" w:eastAsia="標楷體" w:hAnsi="Times New Roman" w:cs="Times New Roman"/>
        </w:rPr>
        <w:t>降幅皆</w:t>
      </w:r>
      <w:bookmarkStart w:id="3" w:name="_GoBack"/>
      <w:bookmarkEnd w:id="3"/>
      <w:r w:rsidRPr="00014C11">
        <w:rPr>
          <w:rFonts w:ascii="Times New Roman" w:eastAsia="標楷體" w:hAnsi="Times New Roman" w:cs="Times New Roman"/>
        </w:rPr>
        <w:t>小於</w:t>
      </w:r>
      <w:r w:rsidRPr="00014C11">
        <w:rPr>
          <w:rFonts w:ascii="Times New Roman" w:eastAsia="標楷體" w:hAnsi="Times New Roman" w:cs="Times New Roman"/>
        </w:rPr>
        <w:t xml:space="preserve"> </w:t>
      </w:r>
      <w:r w:rsidRPr="00014C11">
        <w:rPr>
          <w:rFonts w:ascii="Times New Roman" w:eastAsia="標楷體" w:hAnsi="Times New Roman" w:cs="Times New Roman"/>
        </w:rPr>
        <w:t>0.5%</w:t>
      </w:r>
      <w:r w:rsidRPr="00014C11">
        <w:rPr>
          <w:rFonts w:ascii="Times New Roman" w:eastAsia="標楷體" w:hAnsi="Times New Roman" w:cs="Times New Roman"/>
        </w:rPr>
        <w:t>。此結果證實精簡模型在維持預測性能的同時可大幅降低資料收集成本，對基層醫療單位的實務部署具有重要意義。</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發現八：方法穩健性驗證</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本研究透過排除策略實驗與多任務學習比較，驗證了研究方法的穩健性。排除窗口起點已確診樣本後，</w:t>
      </w:r>
      <w:r w:rsidRPr="00014C11">
        <w:rPr>
          <w:rFonts w:ascii="Times New Roman" w:eastAsia="標楷體" w:hAnsi="Times New Roman" w:cs="Times New Roman"/>
        </w:rPr>
        <w:t>AUC</w:t>
      </w:r>
      <w:r w:rsidRPr="00014C11">
        <w:rPr>
          <w:rFonts w:ascii="Times New Roman" w:eastAsia="標楷體" w:hAnsi="Times New Roman" w:cs="Times New Roman"/>
        </w:rPr>
        <w:t xml:space="preserve"> </w:t>
      </w:r>
      <w:r w:rsidRPr="00014C11">
        <w:rPr>
          <w:rFonts w:ascii="Times New Roman" w:eastAsia="標楷體" w:hAnsi="Times New Roman" w:cs="Times New Roman"/>
        </w:rPr>
        <w:t>變化僅</w:t>
      </w:r>
      <w:r w:rsidRPr="00014C11">
        <w:rPr>
          <w:rFonts w:ascii="Times New Roman" w:eastAsia="標楷體" w:hAnsi="Times New Roman" w:cs="Times New Roman"/>
        </w:rPr>
        <w:t xml:space="preserve"> ≤ </w:t>
      </w:r>
      <w:r w:rsidRPr="00014C11">
        <w:rPr>
          <w:rFonts w:ascii="Times New Roman" w:eastAsia="標楷體" w:hAnsi="Times New Roman" w:cs="Times New Roman"/>
        </w:rPr>
        <w:t>1.3%</w:t>
      </w:r>
      <w:r w:rsidRPr="00014C11">
        <w:rPr>
          <w:rFonts w:ascii="Times New Roman" w:eastAsia="標楷體" w:hAnsi="Times New Roman" w:cs="Times New Roman"/>
        </w:rPr>
        <w:t>，佐證包含所有樣本的做法具穩健性。多任務學習（</w:t>
      </w:r>
      <w:r w:rsidRPr="00014C11">
        <w:rPr>
          <w:rFonts w:ascii="Times New Roman" w:eastAsia="標楷體" w:hAnsi="Times New Roman" w:cs="Times New Roman"/>
        </w:rPr>
        <w:t>MTL</w:t>
      </w:r>
      <w:r w:rsidRPr="00014C11">
        <w:rPr>
          <w:rFonts w:ascii="Times New Roman" w:eastAsia="標楷體" w:hAnsi="Times New Roman" w:cs="Times New Roman"/>
        </w:rPr>
        <w:t>）與</w:t>
      </w:r>
      <w:r w:rsidRPr="00014C11">
        <w:rPr>
          <w:rFonts w:ascii="Times New Roman" w:eastAsia="標楷體" w:hAnsi="Times New Roman" w:cs="Times New Roman"/>
        </w:rPr>
        <w:t>單任務學習（</w:t>
      </w:r>
      <w:r w:rsidRPr="00014C11">
        <w:rPr>
          <w:rFonts w:ascii="Times New Roman" w:eastAsia="標楷體" w:hAnsi="Times New Roman" w:cs="Times New Roman"/>
        </w:rPr>
        <w:t>STL</w:t>
      </w:r>
      <w:r w:rsidRPr="00014C11">
        <w:rPr>
          <w:rFonts w:ascii="Times New Roman" w:eastAsia="標楷體" w:hAnsi="Times New Roman" w:cs="Times New Roman"/>
        </w:rPr>
        <w:t>）的比較中，兩者</w:t>
      </w:r>
      <w:r w:rsidRPr="00014C11">
        <w:rPr>
          <w:rFonts w:ascii="Times New Roman" w:eastAsia="標楷體" w:hAnsi="Times New Roman" w:cs="Times New Roman"/>
        </w:rPr>
        <w:t xml:space="preserve"> AUC </w:t>
      </w:r>
      <w:r w:rsidRPr="00014C11">
        <w:rPr>
          <w:rFonts w:ascii="Times New Roman" w:eastAsia="標楷體" w:hAnsi="Times New Roman" w:cs="Times New Roman"/>
        </w:rPr>
        <w:t>差異</w:t>
      </w:r>
      <w:r w:rsidRPr="00014C11">
        <w:rPr>
          <w:rFonts w:ascii="Times New Roman" w:eastAsia="標楷體" w:hAnsi="Times New Roman" w:cs="Times New Roman"/>
        </w:rPr>
        <w:t xml:space="preserve"> ≤ </w:t>
      </w:r>
      <w:r w:rsidRPr="00014C11">
        <w:rPr>
          <w:rFonts w:ascii="Times New Roman" w:eastAsia="標楷體" w:hAnsi="Times New Roman" w:cs="Times New Roman"/>
        </w:rPr>
        <w:t>0.8%</w:t>
      </w:r>
      <w:r w:rsidRPr="00014C11">
        <w:rPr>
          <w:rFonts w:ascii="Times New Roman" w:eastAsia="標楷體" w:hAnsi="Times New Roman" w:cs="Times New Roman"/>
        </w:rPr>
        <w:t>，顯示三項疾病間的標籤相關性偏低，共享表示未帶來額外效益，獨立模型為合理選擇。</w:t>
      </w:r>
    </w:p>
    <w:p w:rsidR="002E59B0" w:rsidRPr="00014C11" w:rsidRDefault="00014C11">
      <w:pPr>
        <w:pStyle w:val="3"/>
        <w:rPr>
          <w:rFonts w:ascii="Times New Roman" w:eastAsia="標楷體" w:hAnsi="Times New Roman" w:cs="Times New Roman"/>
        </w:rPr>
      </w:pPr>
      <w:bookmarkStart w:id="4" w:name="研究貢獻"/>
      <w:bookmarkEnd w:id="2"/>
      <w:r w:rsidRPr="00014C11">
        <w:rPr>
          <w:rFonts w:ascii="Times New Roman" w:eastAsia="標楷體" w:hAnsi="Times New Roman" w:cs="Times New Roman"/>
        </w:rPr>
        <w:t>研究貢獻</w:t>
      </w:r>
    </w:p>
    <w:p w:rsidR="002E59B0" w:rsidRPr="00014C11" w:rsidRDefault="00014C11">
      <w:pPr>
        <w:pStyle w:val="FirstParagraph"/>
        <w:rPr>
          <w:rFonts w:ascii="Times New Roman" w:eastAsia="標楷體" w:hAnsi="Times New Roman" w:cs="Times New Roman"/>
        </w:rPr>
      </w:pPr>
      <w:r w:rsidRPr="00014C11">
        <w:rPr>
          <w:rFonts w:ascii="Times New Roman" w:eastAsia="標楷體" w:hAnsi="Times New Roman" w:cs="Times New Roman"/>
        </w:rPr>
        <w:t>本研究在學術與應用層面做出以下貢獻：</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學術貢獻</w:t>
      </w:r>
    </w:p>
    <w:p w:rsidR="002E59B0" w:rsidRPr="00014C11" w:rsidRDefault="00014C11">
      <w:pPr>
        <w:numPr>
          <w:ilvl w:val="0"/>
          <w:numId w:val="3"/>
        </w:numPr>
        <w:rPr>
          <w:rFonts w:ascii="Times New Roman" w:eastAsia="標楷體" w:hAnsi="Times New Roman" w:cs="Times New Roman"/>
        </w:rPr>
      </w:pPr>
      <w:r w:rsidRPr="00014C11">
        <w:rPr>
          <w:rFonts w:ascii="Times New Roman" w:eastAsia="標楷體" w:hAnsi="Times New Roman" w:cs="Times New Roman"/>
          <w:b/>
          <w:bCs/>
        </w:rPr>
        <w:t>縱向變化量特徵的跨疾病驗證</w:t>
      </w:r>
      <w:r w:rsidRPr="00014C11">
        <w:rPr>
          <w:rFonts w:ascii="Times New Roman" w:eastAsia="標楷體" w:hAnsi="Times New Roman" w:cs="Times New Roman"/>
        </w:rPr>
        <w:t>：系統性驗證</w:t>
      </w:r>
      <w:r w:rsidRPr="00014C11">
        <w:rPr>
          <w:rFonts w:ascii="Times New Roman" w:eastAsia="標楷體" w:hAnsi="Times New Roman" w:cs="Times New Roman"/>
        </w:rPr>
        <w:t xml:space="preserve"> Δ </w:t>
      </w:r>
      <w:r w:rsidRPr="00014C11">
        <w:rPr>
          <w:rFonts w:ascii="Times New Roman" w:eastAsia="標楷體" w:hAnsi="Times New Roman" w:cs="Times New Roman"/>
        </w:rPr>
        <w:t>特徵在三高疾病同時預測場景下的效果，擴展了</w:t>
      </w:r>
      <w:r w:rsidRPr="00014C11">
        <w:rPr>
          <w:rFonts w:ascii="Times New Roman" w:eastAsia="標楷體" w:hAnsi="Times New Roman" w:cs="Times New Roman"/>
        </w:rPr>
        <w:t xml:space="preserve"> Chen et al. (2025) </w:t>
      </w:r>
      <w:r w:rsidRPr="00014C11">
        <w:rPr>
          <w:rFonts w:ascii="Times New Roman" w:eastAsia="標楷體" w:hAnsi="Times New Roman" w:cs="Times New Roman"/>
        </w:rPr>
        <w:t>在單一疾病（糖尿病）的發現，證實此方法具有跨疾病的適用性。</w:t>
      </w:r>
    </w:p>
    <w:p w:rsidR="002E59B0" w:rsidRPr="00014C11" w:rsidRDefault="00014C11">
      <w:pPr>
        <w:numPr>
          <w:ilvl w:val="0"/>
          <w:numId w:val="3"/>
        </w:numPr>
        <w:rPr>
          <w:rFonts w:ascii="Times New Roman" w:eastAsia="標楷體" w:hAnsi="Times New Roman" w:cs="Times New Roman"/>
        </w:rPr>
      </w:pPr>
      <w:r w:rsidRPr="00014C11">
        <w:rPr>
          <w:rFonts w:ascii="Times New Roman" w:eastAsia="標楷體" w:hAnsi="Times New Roman" w:cs="Times New Roman"/>
          <w:b/>
          <w:bCs/>
        </w:rPr>
        <w:t>全面的模型比較研究</w:t>
      </w:r>
      <w:r w:rsidRPr="00014C11">
        <w:rPr>
          <w:rFonts w:ascii="Times New Roman" w:eastAsia="標楷體" w:hAnsi="Times New Roman" w:cs="Times New Roman"/>
        </w:rPr>
        <w:t>：比較了傳統統計方法、樹模型、深度學習與符號回歸等多種模型類型，為後續研究與臨床應用提供模型選擇的實證依據。</w:t>
      </w:r>
    </w:p>
    <w:p w:rsidR="002E59B0" w:rsidRPr="00014C11" w:rsidRDefault="00014C11">
      <w:pPr>
        <w:numPr>
          <w:ilvl w:val="0"/>
          <w:numId w:val="3"/>
        </w:numPr>
        <w:rPr>
          <w:rFonts w:ascii="Times New Roman" w:eastAsia="標楷體" w:hAnsi="Times New Roman" w:cs="Times New Roman"/>
        </w:rPr>
      </w:pPr>
      <w:r w:rsidRPr="00014C11">
        <w:rPr>
          <w:rFonts w:ascii="Times New Roman" w:eastAsia="標楷體" w:hAnsi="Times New Roman" w:cs="Times New Roman"/>
          <w:b/>
          <w:bCs/>
        </w:rPr>
        <w:lastRenderedPageBreak/>
        <w:t>可解釋性與性能的權衡分析</w:t>
      </w:r>
      <w:r w:rsidRPr="00014C11">
        <w:rPr>
          <w:rFonts w:ascii="Times New Roman" w:eastAsia="標楷體" w:hAnsi="Times New Roman" w:cs="Times New Roman"/>
        </w:rPr>
        <w:t>：透過</w:t>
      </w:r>
      <w:r w:rsidRPr="00014C11">
        <w:rPr>
          <w:rFonts w:ascii="Times New Roman" w:eastAsia="標楷體" w:hAnsi="Times New Roman" w:cs="Times New Roman"/>
        </w:rPr>
        <w:t xml:space="preserve"> SHAP </w:t>
      </w:r>
      <w:r w:rsidRPr="00014C11">
        <w:rPr>
          <w:rFonts w:ascii="Times New Roman" w:eastAsia="標楷體" w:hAnsi="Times New Roman" w:cs="Times New Roman"/>
        </w:rPr>
        <w:t>分析與符號回歸實驗，探討模型可解釋性與預測性能之間的權衡關係，為醫療</w:t>
      </w:r>
      <w:r w:rsidRPr="00014C11">
        <w:rPr>
          <w:rFonts w:ascii="Times New Roman" w:eastAsia="標楷體" w:hAnsi="Times New Roman" w:cs="Times New Roman"/>
        </w:rPr>
        <w:t xml:space="preserve"> AI </w:t>
      </w:r>
      <w:r w:rsidRPr="00014C11">
        <w:rPr>
          <w:rFonts w:ascii="Times New Roman" w:eastAsia="標楷體" w:hAnsi="Times New Roman" w:cs="Times New Roman"/>
        </w:rPr>
        <w:t>應用的模型選擇提供指引。</w:t>
      </w:r>
    </w:p>
    <w:p w:rsidR="002E59B0" w:rsidRPr="00014C11" w:rsidRDefault="00014C11">
      <w:pPr>
        <w:numPr>
          <w:ilvl w:val="0"/>
          <w:numId w:val="3"/>
        </w:numPr>
        <w:rPr>
          <w:rFonts w:ascii="Times New Roman" w:eastAsia="標楷體" w:hAnsi="Times New Roman" w:cs="Times New Roman"/>
        </w:rPr>
      </w:pPr>
      <w:r w:rsidRPr="00014C11">
        <w:rPr>
          <w:rFonts w:ascii="Times New Roman" w:eastAsia="標楷體" w:hAnsi="Times New Roman" w:cs="Times New Roman"/>
          <w:b/>
          <w:bCs/>
        </w:rPr>
        <w:t>方法穩健性的系統驗證</w:t>
      </w:r>
      <w:r w:rsidRPr="00014C11">
        <w:rPr>
          <w:rFonts w:ascii="Times New Roman" w:eastAsia="標楷體" w:hAnsi="Times New Roman" w:cs="Times New Roman"/>
        </w:rPr>
        <w:t>：透過類別不平衡處理方法比較、資料篩選策略實驗與多任務學習比較，從多個面向驗證研究方法的穩健性，強化結論的可信度。</w:t>
      </w:r>
    </w:p>
    <w:p w:rsidR="002E59B0" w:rsidRPr="00014C11" w:rsidRDefault="00014C11">
      <w:pPr>
        <w:pStyle w:val="FirstParagraph"/>
        <w:rPr>
          <w:rFonts w:ascii="Times New Roman" w:eastAsia="標楷體" w:hAnsi="Times New Roman" w:cs="Times New Roman"/>
        </w:rPr>
      </w:pPr>
      <w:r w:rsidRPr="00014C11">
        <w:rPr>
          <w:rFonts w:ascii="Times New Roman" w:eastAsia="標楷體" w:hAnsi="Times New Roman" w:cs="Times New Roman"/>
          <w:b/>
          <w:bCs/>
        </w:rPr>
        <w:t>應用貢獻</w:t>
      </w:r>
    </w:p>
    <w:p w:rsidR="002E59B0" w:rsidRPr="00014C11" w:rsidRDefault="00014C11">
      <w:pPr>
        <w:numPr>
          <w:ilvl w:val="0"/>
          <w:numId w:val="4"/>
        </w:numPr>
        <w:rPr>
          <w:rFonts w:ascii="Times New Roman" w:eastAsia="標楷體" w:hAnsi="Times New Roman" w:cs="Times New Roman"/>
        </w:rPr>
      </w:pPr>
      <w:r w:rsidRPr="00014C11">
        <w:rPr>
          <w:rFonts w:ascii="Times New Roman" w:eastAsia="標楷體" w:hAnsi="Times New Roman" w:cs="Times New Roman"/>
          <w:b/>
          <w:bCs/>
        </w:rPr>
        <w:t>早期預警系統原型</w:t>
      </w:r>
      <w:r w:rsidRPr="00014C11">
        <w:rPr>
          <w:rFonts w:ascii="Times New Roman" w:eastAsia="標楷體" w:hAnsi="Times New Roman" w:cs="Times New Roman"/>
        </w:rPr>
        <w:t>：研究成果可作為健檢中心部署早期預警系統的基礎，自動標註高風險個體，提供個人化預防建議。</w:t>
      </w:r>
    </w:p>
    <w:p w:rsidR="002E59B0" w:rsidRPr="00014C11" w:rsidRDefault="00014C11">
      <w:pPr>
        <w:numPr>
          <w:ilvl w:val="0"/>
          <w:numId w:val="4"/>
        </w:numPr>
        <w:rPr>
          <w:rFonts w:ascii="Times New Roman" w:eastAsia="標楷體" w:hAnsi="Times New Roman" w:cs="Times New Roman"/>
        </w:rPr>
      </w:pPr>
      <w:r w:rsidRPr="00014C11">
        <w:rPr>
          <w:rFonts w:ascii="Times New Roman" w:eastAsia="標楷體" w:hAnsi="Times New Roman" w:cs="Times New Roman"/>
          <w:b/>
          <w:bCs/>
        </w:rPr>
        <w:t>臨床決策支持</w:t>
      </w:r>
      <w:r w:rsidRPr="00014C11">
        <w:rPr>
          <w:rFonts w:ascii="Times New Roman" w:eastAsia="標楷體" w:hAnsi="Times New Roman" w:cs="Times New Roman"/>
        </w:rPr>
        <w:t>：透過特徵重要性分析，識別可干預的風險因子（如血糖、血壓的變化趨勢），輔助醫師進行臨床判斷與衛教。</w:t>
      </w:r>
    </w:p>
    <w:p w:rsidR="002E59B0" w:rsidRPr="00014C11" w:rsidRDefault="00014C11">
      <w:pPr>
        <w:numPr>
          <w:ilvl w:val="0"/>
          <w:numId w:val="4"/>
        </w:numPr>
        <w:rPr>
          <w:rFonts w:ascii="Times New Roman" w:eastAsia="標楷體" w:hAnsi="Times New Roman" w:cs="Times New Roman"/>
        </w:rPr>
      </w:pPr>
      <w:r w:rsidRPr="00014C11">
        <w:rPr>
          <w:rFonts w:ascii="Times New Roman" w:eastAsia="標楷體" w:hAnsi="Times New Roman" w:cs="Times New Roman"/>
          <w:b/>
          <w:bCs/>
        </w:rPr>
        <w:t>簡化模型的實務潛力</w:t>
      </w:r>
      <w:r w:rsidRPr="00014C11">
        <w:rPr>
          <w:rFonts w:ascii="Times New Roman" w:eastAsia="標楷體" w:hAnsi="Times New Roman" w:cs="Times New Roman"/>
        </w:rPr>
        <w:t>：符號回歸發現的簡單公式與</w:t>
      </w:r>
      <w:r w:rsidRPr="00014C11">
        <w:rPr>
          <w:rFonts w:ascii="Times New Roman" w:eastAsia="標楷體" w:hAnsi="Times New Roman" w:cs="Times New Roman"/>
        </w:rPr>
        <w:t xml:space="preserve"> Top 5 </w:t>
      </w:r>
      <w:r w:rsidRPr="00014C11">
        <w:rPr>
          <w:rFonts w:ascii="Times New Roman" w:eastAsia="標楷體" w:hAnsi="Times New Roman" w:cs="Times New Roman"/>
        </w:rPr>
        <w:t>特徵模型，顯示精簡模型在維持性能的同時可降低資料收集成本，提升實務部署的可行性。</w:t>
      </w:r>
    </w:p>
    <w:p w:rsidR="002E59B0" w:rsidRPr="00014C11" w:rsidRDefault="00014C11" w:rsidP="00014C11">
      <w:pPr>
        <w:numPr>
          <w:ilvl w:val="0"/>
          <w:numId w:val="4"/>
        </w:numPr>
        <w:rPr>
          <w:rFonts w:ascii="Times New Roman" w:eastAsia="標楷體" w:hAnsi="Times New Roman" w:cs="Times New Roman"/>
        </w:rPr>
      </w:pPr>
      <w:r w:rsidRPr="00014C11">
        <w:rPr>
          <w:rFonts w:ascii="Times New Roman" w:eastAsia="標楷體" w:hAnsi="Times New Roman" w:cs="Times New Roman"/>
          <w:b/>
          <w:bCs/>
        </w:rPr>
        <w:t>健檢頻率的差異化建議</w:t>
      </w:r>
      <w:r w:rsidRPr="00014C11">
        <w:rPr>
          <w:rFonts w:ascii="Times New Roman" w:eastAsia="標楷體" w:hAnsi="Times New Roman" w:cs="Times New Roman"/>
        </w:rPr>
        <w:t>：健檢次數實驗揭示高血壓預測對縱向資料的依賴度遠高於高血糖與高血脂，為不同疾病風險族群的健檢頻率建議提供實證依據。</w:t>
      </w:r>
    </w:p>
    <w:p w:rsidR="002E59B0" w:rsidRPr="00014C11" w:rsidRDefault="00014C11">
      <w:pPr>
        <w:pStyle w:val="2"/>
        <w:rPr>
          <w:rFonts w:ascii="Times New Roman" w:eastAsia="標楷體" w:hAnsi="Times New Roman" w:cs="Times New Roman"/>
        </w:rPr>
      </w:pPr>
      <w:bookmarkStart w:id="5" w:name="研究限制"/>
      <w:bookmarkEnd w:id="1"/>
      <w:bookmarkEnd w:id="4"/>
      <w:r w:rsidRPr="00014C11">
        <w:rPr>
          <w:rFonts w:ascii="Times New Roman" w:eastAsia="標楷體" w:hAnsi="Times New Roman" w:cs="Times New Roman"/>
        </w:rPr>
        <w:t xml:space="preserve">5.2 </w:t>
      </w:r>
      <w:r w:rsidRPr="00014C11">
        <w:rPr>
          <w:rFonts w:ascii="Times New Roman" w:eastAsia="標楷體" w:hAnsi="Times New Roman" w:cs="Times New Roman"/>
        </w:rPr>
        <w:t>研究限制</w:t>
      </w:r>
    </w:p>
    <w:p w:rsidR="002E59B0" w:rsidRPr="00014C11" w:rsidRDefault="00014C11">
      <w:pPr>
        <w:pStyle w:val="FirstParagraph"/>
        <w:rPr>
          <w:rFonts w:ascii="Times New Roman" w:eastAsia="標楷體" w:hAnsi="Times New Roman" w:cs="Times New Roman"/>
        </w:rPr>
      </w:pPr>
      <w:r w:rsidRPr="00014C11">
        <w:rPr>
          <w:rFonts w:ascii="Times New Roman" w:eastAsia="標楷體" w:hAnsi="Times New Roman" w:cs="Times New Roman"/>
        </w:rPr>
        <w:t>儘管本研究獲得了具價值的發現，仍存在以下限制：</w:t>
      </w:r>
    </w:p>
    <w:p w:rsidR="002E59B0" w:rsidRPr="00014C11" w:rsidRDefault="00014C11">
      <w:pPr>
        <w:pStyle w:val="3"/>
        <w:rPr>
          <w:rFonts w:ascii="Times New Roman" w:eastAsia="標楷體" w:hAnsi="Times New Roman" w:cs="Times New Roman"/>
        </w:rPr>
      </w:pPr>
      <w:bookmarkStart w:id="6" w:name="資料限制"/>
      <w:r w:rsidRPr="00014C11">
        <w:rPr>
          <w:rFonts w:ascii="Times New Roman" w:eastAsia="標楷體" w:hAnsi="Times New Roman" w:cs="Times New Roman"/>
        </w:rPr>
        <w:t>資料限制</w:t>
      </w:r>
    </w:p>
    <w:p w:rsidR="002E59B0" w:rsidRPr="00014C11" w:rsidRDefault="00014C11">
      <w:pPr>
        <w:pStyle w:val="FirstParagraph"/>
        <w:rPr>
          <w:rFonts w:ascii="Times New Roman" w:eastAsia="標楷體" w:hAnsi="Times New Roman" w:cs="Times New Roman"/>
        </w:rPr>
      </w:pPr>
      <w:r w:rsidRPr="00014C11">
        <w:rPr>
          <w:rFonts w:ascii="Times New Roman" w:eastAsia="標楷體" w:hAnsi="Times New Roman" w:cs="Times New Roman"/>
          <w:b/>
          <w:bCs/>
        </w:rPr>
        <w:t>健檢族群的選擇偏差</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本研究使用的縱向健檢資料來自自願參與健康檢查的族群，此族群相較於一般人口可能具有較高的健康意識與社經地位，因此研究結果的外推性（</w:t>
      </w:r>
      <w:r w:rsidRPr="00014C11">
        <w:rPr>
          <w:rFonts w:ascii="Times New Roman" w:eastAsia="標楷體" w:hAnsi="Times New Roman" w:cs="Times New Roman"/>
        </w:rPr>
        <w:t>gene</w:t>
      </w:r>
      <w:r w:rsidRPr="00014C11">
        <w:rPr>
          <w:rFonts w:ascii="Times New Roman" w:eastAsia="標楷體" w:hAnsi="Times New Roman" w:cs="Times New Roman"/>
        </w:rPr>
        <w:t>ralizability</w:t>
      </w:r>
      <w:r w:rsidRPr="00014C11">
        <w:rPr>
          <w:rFonts w:ascii="Times New Roman" w:eastAsia="標楷體" w:hAnsi="Times New Roman" w:cs="Times New Roman"/>
        </w:rPr>
        <w:t>）可能受限。未來研究應納入更具代表性的一般人口樣本，或進行跨族群的外部驗證。</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時間間隔不完全一致</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由於健檢資料為真實世界資料，個體間的健檢時間間隔並非完全一致。雖然本研究採用滑動窗口方法盡可能標準化時間窗口，但時間間隔的變異仍可能影響</w:t>
      </w:r>
      <w:r w:rsidRPr="00014C11">
        <w:rPr>
          <w:rFonts w:ascii="Times New Roman" w:eastAsia="標楷體" w:hAnsi="Times New Roman" w:cs="Times New Roman"/>
        </w:rPr>
        <w:t xml:space="preserve"> Δ </w:t>
      </w:r>
      <w:r w:rsidRPr="00014C11">
        <w:rPr>
          <w:rFonts w:ascii="Times New Roman" w:eastAsia="標楷體" w:hAnsi="Times New Roman" w:cs="Times New Roman"/>
        </w:rPr>
        <w:t>特徵的可比性。</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缺乏飲食與生活型態資料</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本研究僅使用生理檢驗指標作為預測特徵，缺乏飲食習慣、運動頻率、吸菸飲酒等生活型態資料。然而，近期美國膳食指南</w:t>
      </w:r>
      <w:r w:rsidRPr="00014C11">
        <w:rPr>
          <w:rFonts w:ascii="Times New Roman" w:eastAsia="標楷體" w:hAnsi="Times New Roman" w:cs="Times New Roman"/>
        </w:rPr>
        <w:t xml:space="preserve"> </w:t>
      </w:r>
      <w:r w:rsidRPr="00014C11">
        <w:rPr>
          <w:rFonts w:ascii="Times New Roman" w:eastAsia="標楷體" w:hAnsi="Times New Roman" w:cs="Times New Roman"/>
        </w:rPr>
        <w:t>2025-2030</w:t>
      </w:r>
      <w:r w:rsidRPr="00014C11">
        <w:rPr>
          <w:rFonts w:ascii="Times New Roman" w:eastAsia="標楷體" w:hAnsi="Times New Roman" w:cs="Times New Roman"/>
        </w:rPr>
        <w:t>（</w:t>
      </w:r>
      <w:r w:rsidRPr="00014C11">
        <w:rPr>
          <w:rFonts w:ascii="Times New Roman" w:eastAsia="標楷體" w:hAnsi="Times New Roman" w:cs="Times New Roman"/>
        </w:rPr>
        <w:t>Dietary</w:t>
      </w:r>
      <w:r w:rsidRPr="00014C11">
        <w:rPr>
          <w:rFonts w:ascii="Times New Roman" w:eastAsia="標楷體" w:hAnsi="Times New Roman" w:cs="Times New Roman"/>
        </w:rPr>
        <w:t xml:space="preserve"> Guidelines for Americans, </w:t>
      </w:r>
      <w:r w:rsidRPr="00014C11">
        <w:rPr>
          <w:rFonts w:ascii="Times New Roman" w:eastAsia="標楷體" w:hAnsi="Times New Roman" w:cs="Times New Roman"/>
        </w:rPr>
        <w:t>DGA</w:t>
      </w:r>
      <w:r w:rsidRPr="00014C11">
        <w:rPr>
          <w:rFonts w:ascii="Times New Roman" w:eastAsia="標楷體" w:hAnsi="Times New Roman" w:cs="Times New Roman"/>
        </w:rPr>
        <w:t>）明</w:t>
      </w:r>
      <w:r w:rsidRPr="00014C11">
        <w:rPr>
          <w:rFonts w:ascii="Times New Roman" w:eastAsia="標楷體" w:hAnsi="Times New Roman" w:cs="Times New Roman"/>
        </w:rPr>
        <w:t>確指出，飲食模式與三高疾病具有直接且顯著的關聯。例如，添加糖攝取與代謝症候群、超加工食品與慢性疾病的發生皆有密切關係。若能整合飲食資料，預期可進一步提升預測性能並提供更全面的健康管理建議。</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lastRenderedPageBreak/>
        <w:t>缺乏外部驗證資料集</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由於缺乏具相似資料結構的外部資料集，本研究僅能透過內部交叉驗證評估模型性能。未來若能取得其他健檢中心或跨地區的縱向資料，將有助於驗證模型的穩健性與外推性。</w:t>
      </w:r>
    </w:p>
    <w:p w:rsidR="002E59B0" w:rsidRPr="00014C11" w:rsidRDefault="00014C11">
      <w:pPr>
        <w:pStyle w:val="3"/>
        <w:rPr>
          <w:rFonts w:ascii="Times New Roman" w:eastAsia="標楷體" w:hAnsi="Times New Roman" w:cs="Times New Roman"/>
        </w:rPr>
      </w:pPr>
      <w:bookmarkStart w:id="7" w:name="模型限制"/>
      <w:bookmarkEnd w:id="6"/>
      <w:r w:rsidRPr="00014C11">
        <w:rPr>
          <w:rFonts w:ascii="Times New Roman" w:eastAsia="標楷體" w:hAnsi="Times New Roman" w:cs="Times New Roman"/>
        </w:rPr>
        <w:t>模型限制</w:t>
      </w:r>
    </w:p>
    <w:p w:rsidR="002E59B0" w:rsidRPr="00014C11" w:rsidRDefault="00014C11">
      <w:pPr>
        <w:pStyle w:val="FirstParagraph"/>
        <w:rPr>
          <w:rFonts w:ascii="Times New Roman" w:eastAsia="標楷體" w:hAnsi="Times New Roman" w:cs="Times New Roman"/>
        </w:rPr>
      </w:pPr>
      <w:r w:rsidRPr="00014C11">
        <w:rPr>
          <w:rFonts w:ascii="Times New Roman" w:eastAsia="標楷體" w:hAnsi="Times New Roman" w:cs="Times New Roman"/>
          <w:b/>
          <w:bCs/>
        </w:rPr>
        <w:t>確診定義包含非生理指標條件</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根據</w:t>
      </w:r>
      <w:r w:rsidRPr="00014C11">
        <w:rPr>
          <w:rFonts w:ascii="Times New Roman" w:eastAsia="標楷體" w:hAnsi="Times New Roman" w:cs="Times New Roman"/>
        </w:rPr>
        <w:t xml:space="preserve"> Luo et al. (2024) </w:t>
      </w:r>
      <w:r w:rsidRPr="00014C11">
        <w:rPr>
          <w:rFonts w:ascii="Times New Roman" w:eastAsia="標楷體" w:hAnsi="Times New Roman" w:cs="Times New Roman"/>
        </w:rPr>
        <w:t>原始論文，三項疾病的確診標記並非皆以生理指標閾值為唯一依據：高血壓</w:t>
      </w:r>
      <w:r w:rsidRPr="00014C11">
        <w:rPr>
          <w:rFonts w:ascii="Times New Roman" w:eastAsia="標楷體" w:hAnsi="Times New Roman" w:cs="Times New Roman"/>
        </w:rPr>
        <w:t>定義為</w:t>
      </w:r>
      <w:r w:rsidRPr="00014C11">
        <w:rPr>
          <w:rFonts w:ascii="Times New Roman" w:eastAsia="標楷體" w:hAnsi="Times New Roman" w:cs="Times New Roman"/>
        </w:rPr>
        <w:t xml:space="preserve"> SBP ≥ 140 </w:t>
      </w:r>
      <w:r w:rsidRPr="00014C11">
        <w:rPr>
          <w:rFonts w:ascii="Times New Roman" w:eastAsia="標楷體" w:hAnsi="Times New Roman" w:cs="Times New Roman"/>
        </w:rPr>
        <w:t>或</w:t>
      </w:r>
      <w:r w:rsidRPr="00014C11">
        <w:rPr>
          <w:rFonts w:ascii="Times New Roman" w:eastAsia="標楷體" w:hAnsi="Times New Roman" w:cs="Times New Roman"/>
        </w:rPr>
        <w:t xml:space="preserve"> DBP ≥ 90 </w:t>
      </w:r>
      <w:r w:rsidRPr="00014C11">
        <w:rPr>
          <w:rFonts w:ascii="Times New Roman" w:eastAsia="標楷體" w:hAnsi="Times New Roman" w:cs="Times New Roman"/>
        </w:rPr>
        <w:t>mmHg</w:t>
      </w:r>
      <w:r w:rsidRPr="00014C11">
        <w:rPr>
          <w:rFonts w:ascii="Times New Roman" w:eastAsia="標楷體" w:hAnsi="Times New Roman" w:cs="Times New Roman"/>
        </w:rPr>
        <w:t>，</w:t>
      </w:r>
      <w:r w:rsidRPr="00014C11">
        <w:rPr>
          <w:rFonts w:ascii="Times New Roman" w:eastAsia="標楷體" w:hAnsi="Times New Roman" w:cs="Times New Roman"/>
          <w:b/>
          <w:bCs/>
        </w:rPr>
        <w:t>或已確診且正在服用降壓藥物</w:t>
      </w:r>
      <w:r w:rsidRPr="00014C11">
        <w:rPr>
          <w:rFonts w:ascii="Times New Roman" w:eastAsia="標楷體" w:hAnsi="Times New Roman" w:cs="Times New Roman"/>
        </w:rPr>
        <w:t>；高血糖定義為</w:t>
      </w:r>
      <w:r w:rsidRPr="00014C11">
        <w:rPr>
          <w:rFonts w:ascii="Times New Roman" w:eastAsia="標楷體" w:hAnsi="Times New Roman" w:cs="Times New Roman"/>
        </w:rPr>
        <w:t xml:space="preserve"> FBG ≥ 7.0 </w:t>
      </w:r>
      <w:r w:rsidRPr="00014C11">
        <w:rPr>
          <w:rFonts w:ascii="Times New Roman" w:eastAsia="標楷體" w:hAnsi="Times New Roman" w:cs="Times New Roman"/>
        </w:rPr>
        <w:t>mmol/L</w:t>
      </w:r>
      <w:r w:rsidRPr="00014C11">
        <w:rPr>
          <w:rFonts w:ascii="Times New Roman" w:eastAsia="標楷體" w:hAnsi="Times New Roman" w:cs="Times New Roman"/>
        </w:rPr>
        <w:t>，</w:t>
      </w:r>
      <w:r w:rsidRPr="00014C11">
        <w:rPr>
          <w:rFonts w:ascii="Times New Roman" w:eastAsia="標楷體" w:hAnsi="Times New Roman" w:cs="Times New Roman"/>
          <w:b/>
          <w:bCs/>
        </w:rPr>
        <w:t>或自我報告糖尿病</w:t>
      </w:r>
      <w:r w:rsidRPr="00014C11">
        <w:rPr>
          <w:rFonts w:ascii="Times New Roman" w:eastAsia="標楷體" w:hAnsi="Times New Roman" w:cs="Times New Roman"/>
        </w:rPr>
        <w:t>；高血脂則僅以</w:t>
      </w:r>
      <w:r w:rsidRPr="00014C11">
        <w:rPr>
          <w:rFonts w:ascii="Times New Roman" w:eastAsia="標楷體" w:hAnsi="Times New Roman" w:cs="Times New Roman"/>
        </w:rPr>
        <w:t xml:space="preserve"> TC ≥ 6.22 mmol/L </w:t>
      </w:r>
      <w:r w:rsidRPr="00014C11">
        <w:rPr>
          <w:rFonts w:ascii="Times New Roman" w:eastAsia="標楷體" w:hAnsi="Times New Roman" w:cs="Times New Roman"/>
        </w:rPr>
        <w:t>為標準，無額外條件。</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此定義差異對高血壓與高血糖的預測模型產生影響：正在服用降壓藥的個體，其血壓可能已被控制於正常範圍，但仍被標記為患病，導致特徵與標籤之間出現不一致。此現象亦可能使</w:t>
      </w:r>
      <w:r w:rsidRPr="00014C11">
        <w:rPr>
          <w:rFonts w:ascii="Times New Roman" w:eastAsia="標楷體" w:hAnsi="Times New Roman" w:cs="Times New Roman"/>
        </w:rPr>
        <w:t xml:space="preserve"> Δ </w:t>
      </w:r>
      <w:r w:rsidRPr="00014C11">
        <w:rPr>
          <w:rFonts w:ascii="Times New Roman" w:eastAsia="標楷體" w:hAnsi="Times New Roman" w:cs="Times New Roman"/>
        </w:rPr>
        <w:t>特徵產生誤導</w:t>
      </w:r>
      <w:r w:rsidRPr="00014C11">
        <w:rPr>
          <w:rFonts w:ascii="Times New Roman" w:eastAsia="標楷體" w:hAnsi="Times New Roman" w:cs="Times New Roman"/>
        </w:rPr>
        <w:t>——</w:t>
      </w:r>
      <w:r w:rsidRPr="00014C11">
        <w:rPr>
          <w:rFonts w:ascii="Times New Roman" w:eastAsia="標楷體" w:hAnsi="Times New Roman" w:cs="Times New Roman"/>
        </w:rPr>
        <w:t>例如，開始服藥的個體可能呈現</w:t>
      </w:r>
      <w:r w:rsidRPr="00014C11">
        <w:rPr>
          <w:rFonts w:ascii="Times New Roman" w:eastAsia="標楷體" w:hAnsi="Times New Roman" w:cs="Times New Roman"/>
        </w:rPr>
        <w:t xml:space="preserve"> ΔSBP &lt; </w:t>
      </w:r>
      <w:r w:rsidRPr="00014C11">
        <w:rPr>
          <w:rFonts w:ascii="Times New Roman" w:eastAsia="標楷體" w:hAnsi="Times New Roman" w:cs="Times New Roman"/>
        </w:rPr>
        <w:t>0</w:t>
      </w:r>
      <w:r w:rsidRPr="00014C11">
        <w:rPr>
          <w:rFonts w:ascii="Times New Roman" w:eastAsia="標楷體" w:hAnsi="Times New Roman" w:cs="Times New Roman"/>
        </w:rPr>
        <w:t>（血壓下降），模型將此解讀為低風險訊號，但實際上該個體已確診</w:t>
      </w:r>
      <w:r w:rsidRPr="00014C11">
        <w:rPr>
          <w:rFonts w:ascii="Times New Roman" w:eastAsia="標楷體" w:hAnsi="Times New Roman" w:cs="Times New Roman"/>
        </w:rPr>
        <w:t>高血壓。類似地，自我報告糖尿病但</w:t>
      </w:r>
      <w:r w:rsidRPr="00014C11">
        <w:rPr>
          <w:rFonts w:ascii="Times New Roman" w:eastAsia="標楷體" w:hAnsi="Times New Roman" w:cs="Times New Roman"/>
        </w:rPr>
        <w:t xml:space="preserve"> FBG </w:t>
      </w:r>
      <w:r w:rsidRPr="00014C11">
        <w:rPr>
          <w:rFonts w:ascii="Times New Roman" w:eastAsia="標楷體" w:hAnsi="Times New Roman" w:cs="Times New Roman"/>
        </w:rPr>
        <w:t>受控的個體亦存在同樣問題。高血脂因僅使用生理閾值定義，不受此限制影響。</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雖然本研究的排除策略</w:t>
      </w:r>
      <w:r w:rsidRPr="00014C11">
        <w:rPr>
          <w:rFonts w:ascii="Times New Roman" w:eastAsia="標楷體" w:hAnsi="Times New Roman" w:cs="Times New Roman"/>
        </w:rPr>
        <w:t xml:space="preserve"> </w:t>
      </w:r>
      <w:r w:rsidRPr="00014C11">
        <w:rPr>
          <w:rFonts w:ascii="Times New Roman" w:eastAsia="標楷體" w:hAnsi="Times New Roman" w:cs="Times New Roman"/>
        </w:rPr>
        <w:t>C</w:t>
      </w:r>
      <w:r w:rsidRPr="00014C11">
        <w:rPr>
          <w:rFonts w:ascii="Times New Roman" w:eastAsia="標楷體" w:hAnsi="Times New Roman" w:cs="Times New Roman"/>
        </w:rPr>
        <w:t>（</w:t>
      </w:r>
      <w:r w:rsidRPr="00014C11">
        <w:rPr>
          <w:rFonts w:ascii="Times New Roman" w:eastAsia="標楷體" w:hAnsi="Times New Roman" w:cs="Times New Roman"/>
        </w:rPr>
        <w:t>§4.6</w:t>
      </w:r>
      <w:r w:rsidRPr="00014C11">
        <w:rPr>
          <w:rFonts w:ascii="Times New Roman" w:eastAsia="標楷體" w:hAnsi="Times New Roman" w:cs="Times New Roman"/>
        </w:rPr>
        <w:t>）已排除</w:t>
      </w:r>
      <w:r w:rsidRPr="00014C11">
        <w:rPr>
          <w:rFonts w:ascii="Times New Roman" w:eastAsia="標楷體" w:hAnsi="Times New Roman" w:cs="Times New Roman"/>
        </w:rPr>
        <w:t xml:space="preserve"> Y-2 </w:t>
      </w:r>
      <w:r w:rsidRPr="00014C11">
        <w:rPr>
          <w:rFonts w:ascii="Times New Roman" w:eastAsia="標楷體" w:hAnsi="Times New Roman" w:cs="Times New Roman"/>
        </w:rPr>
        <w:t>時生理指標超標的既有患者，但無法識別「</w:t>
      </w:r>
      <w:r w:rsidRPr="00014C11">
        <w:rPr>
          <w:rFonts w:ascii="Times New Roman" w:eastAsia="標楷體" w:hAnsi="Times New Roman" w:cs="Times New Roman"/>
        </w:rPr>
        <w:t>Y-2</w:t>
      </w:r>
      <w:r w:rsidRPr="00014C11">
        <w:rPr>
          <w:rFonts w:ascii="Times New Roman" w:eastAsia="標楷體" w:hAnsi="Times New Roman" w:cs="Times New Roman"/>
        </w:rPr>
        <w:t xml:space="preserve"> </w:t>
      </w:r>
      <w:r w:rsidRPr="00014C11">
        <w:rPr>
          <w:rFonts w:ascii="Times New Roman" w:eastAsia="標楷體" w:hAnsi="Times New Roman" w:cs="Times New Roman"/>
        </w:rPr>
        <w:t>時已用藥且指標被控制於正常範圍」的個體，此為使用公開資料集的固有限制。未來研究若能取得用藥紀錄，應納入用藥史作為額外特徵或排除條件，以更精確地定義新發個案。</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未探索深度時間序列模型</w:t>
      </w:r>
    </w:p>
    <w:p w:rsidR="002E59B0" w:rsidRPr="00014C11" w:rsidRDefault="00014C11" w:rsidP="00014C11">
      <w:pPr>
        <w:pStyle w:val="a0"/>
        <w:rPr>
          <w:rFonts w:ascii="Times New Roman" w:eastAsia="標楷體" w:hAnsi="Times New Roman" w:cs="Times New Roman"/>
        </w:rPr>
      </w:pPr>
      <w:r w:rsidRPr="00014C11">
        <w:rPr>
          <w:rFonts w:ascii="Times New Roman" w:eastAsia="標楷體" w:hAnsi="Times New Roman" w:cs="Times New Roman"/>
        </w:rPr>
        <w:t>本研究因時間點數量有限（</w:t>
      </w:r>
      <w:r w:rsidRPr="00014C11">
        <w:rPr>
          <w:rFonts w:ascii="Times New Roman" w:eastAsia="標楷體" w:hAnsi="Times New Roman" w:cs="Times New Roman"/>
        </w:rPr>
        <w:t>3</w:t>
      </w:r>
      <w:r w:rsidRPr="00014C11">
        <w:rPr>
          <w:rFonts w:ascii="Times New Roman" w:eastAsia="標楷體" w:hAnsi="Times New Roman" w:cs="Times New Roman"/>
        </w:rPr>
        <w:t>個時間點），未能充分探索</w:t>
      </w:r>
      <w:r w:rsidRPr="00014C11">
        <w:rPr>
          <w:rFonts w:ascii="Times New Roman" w:eastAsia="標楷體" w:hAnsi="Times New Roman" w:cs="Times New Roman"/>
        </w:rPr>
        <w:t xml:space="preserve"> LSTM</w:t>
      </w:r>
      <w:r w:rsidRPr="00014C11">
        <w:rPr>
          <w:rFonts w:ascii="Times New Roman" w:eastAsia="標楷體" w:hAnsi="Times New Roman" w:cs="Times New Roman"/>
        </w:rPr>
        <w:t>、</w:t>
      </w:r>
      <w:r w:rsidRPr="00014C11">
        <w:rPr>
          <w:rFonts w:ascii="Times New Roman" w:eastAsia="標楷體" w:hAnsi="Times New Roman" w:cs="Times New Roman"/>
        </w:rPr>
        <w:t xml:space="preserve">GRU </w:t>
      </w:r>
      <w:r w:rsidRPr="00014C11">
        <w:rPr>
          <w:rFonts w:ascii="Times New Roman" w:eastAsia="標楷體" w:hAnsi="Times New Roman" w:cs="Times New Roman"/>
        </w:rPr>
        <w:t>等深度時間序列模型的潛力。這些模型在處理更長序列的時間序列資料時可能展現更優異的性能。</w:t>
      </w:r>
    </w:p>
    <w:p w:rsidR="002E59B0" w:rsidRPr="00014C11" w:rsidRDefault="00014C11">
      <w:pPr>
        <w:pStyle w:val="2"/>
        <w:rPr>
          <w:rFonts w:ascii="Times New Roman" w:eastAsia="標楷體" w:hAnsi="Times New Roman" w:cs="Times New Roman"/>
        </w:rPr>
      </w:pPr>
      <w:bookmarkStart w:id="8" w:name="未來研究方向"/>
      <w:bookmarkEnd w:id="5"/>
      <w:bookmarkEnd w:id="7"/>
      <w:r w:rsidRPr="00014C11">
        <w:rPr>
          <w:rFonts w:ascii="Times New Roman" w:eastAsia="標楷體" w:hAnsi="Times New Roman" w:cs="Times New Roman"/>
        </w:rPr>
        <w:t xml:space="preserve">5.3 </w:t>
      </w:r>
      <w:r w:rsidRPr="00014C11">
        <w:rPr>
          <w:rFonts w:ascii="Times New Roman" w:eastAsia="標楷體" w:hAnsi="Times New Roman" w:cs="Times New Roman"/>
        </w:rPr>
        <w:t>未來研究方向</w:t>
      </w:r>
    </w:p>
    <w:p w:rsidR="002E59B0" w:rsidRPr="00014C11" w:rsidRDefault="00014C11">
      <w:pPr>
        <w:pStyle w:val="FirstParagraph"/>
        <w:rPr>
          <w:rFonts w:ascii="Times New Roman" w:eastAsia="標楷體" w:hAnsi="Times New Roman" w:cs="Times New Roman"/>
        </w:rPr>
      </w:pPr>
      <w:r w:rsidRPr="00014C11">
        <w:rPr>
          <w:rFonts w:ascii="Times New Roman" w:eastAsia="標楷體" w:hAnsi="Times New Roman" w:cs="Times New Roman"/>
        </w:rPr>
        <w:t>基於本研究的發現與限制，建議未來研究可朝以下方向發展：</w:t>
      </w:r>
    </w:p>
    <w:p w:rsidR="002E59B0" w:rsidRPr="00014C11" w:rsidRDefault="00014C11">
      <w:pPr>
        <w:pStyle w:val="3"/>
        <w:rPr>
          <w:rFonts w:ascii="Times New Roman" w:eastAsia="標楷體" w:hAnsi="Times New Roman" w:cs="Times New Roman"/>
        </w:rPr>
      </w:pPr>
      <w:bookmarkStart w:id="9" w:name="方法論改進"/>
      <w:r w:rsidRPr="00014C11">
        <w:rPr>
          <w:rFonts w:ascii="Times New Roman" w:eastAsia="標楷體" w:hAnsi="Times New Roman" w:cs="Times New Roman"/>
        </w:rPr>
        <w:t>方法論改進</w:t>
      </w:r>
    </w:p>
    <w:p w:rsidR="002E59B0" w:rsidRPr="00014C11" w:rsidRDefault="00014C11">
      <w:pPr>
        <w:pStyle w:val="FirstParagraph"/>
        <w:rPr>
          <w:rFonts w:ascii="Times New Roman" w:eastAsia="標楷體" w:hAnsi="Times New Roman" w:cs="Times New Roman"/>
        </w:rPr>
      </w:pPr>
      <w:r w:rsidRPr="00014C11">
        <w:rPr>
          <w:rFonts w:ascii="Times New Roman" w:eastAsia="標楷體" w:hAnsi="Times New Roman" w:cs="Times New Roman"/>
          <w:b/>
          <w:bCs/>
        </w:rPr>
        <w:t>深化多任務學習</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本研究的</w:t>
      </w:r>
      <w:r w:rsidRPr="00014C11">
        <w:rPr>
          <w:rFonts w:ascii="Times New Roman" w:eastAsia="標楷體" w:hAnsi="Times New Roman" w:cs="Times New Roman"/>
        </w:rPr>
        <w:t xml:space="preserve"> MLP </w:t>
      </w:r>
      <w:r w:rsidRPr="00014C11">
        <w:rPr>
          <w:rFonts w:ascii="Times New Roman" w:eastAsia="標楷體" w:hAnsi="Times New Roman" w:cs="Times New Roman"/>
        </w:rPr>
        <w:t>多任務學習實驗顯示</w:t>
      </w:r>
      <w:r w:rsidRPr="00014C11">
        <w:rPr>
          <w:rFonts w:ascii="Times New Roman" w:eastAsia="標楷體" w:hAnsi="Times New Roman" w:cs="Times New Roman"/>
        </w:rPr>
        <w:t xml:space="preserve"> MTL </w:t>
      </w:r>
      <w:r w:rsidRPr="00014C11">
        <w:rPr>
          <w:rFonts w:ascii="Times New Roman" w:eastAsia="標楷體" w:hAnsi="Times New Roman" w:cs="Times New Roman"/>
        </w:rPr>
        <w:t>與</w:t>
      </w:r>
      <w:r w:rsidRPr="00014C11">
        <w:rPr>
          <w:rFonts w:ascii="Times New Roman" w:eastAsia="標楷體" w:hAnsi="Times New Roman" w:cs="Times New Roman"/>
        </w:rPr>
        <w:t xml:space="preserve"> STL </w:t>
      </w:r>
      <w:r w:rsidRPr="00014C11">
        <w:rPr>
          <w:rFonts w:ascii="Times New Roman" w:eastAsia="標楷體" w:hAnsi="Times New Roman" w:cs="Times New Roman"/>
        </w:rPr>
        <w:t>無顯著差異（</w:t>
      </w:r>
      <w:r w:rsidRPr="00014C11">
        <w:rPr>
          <w:rFonts w:ascii="Times New Roman" w:eastAsia="標楷體" w:hAnsi="Times New Roman" w:cs="Times New Roman"/>
        </w:rPr>
        <w:t>AUC</w:t>
      </w:r>
      <w:r w:rsidRPr="00014C11">
        <w:rPr>
          <w:rFonts w:ascii="Times New Roman" w:eastAsia="標楷體" w:hAnsi="Times New Roman" w:cs="Times New Roman"/>
        </w:rPr>
        <w:t xml:space="preserve"> </w:t>
      </w:r>
      <w:r w:rsidRPr="00014C11">
        <w:rPr>
          <w:rFonts w:ascii="Times New Roman" w:eastAsia="標楷體" w:hAnsi="Times New Roman" w:cs="Times New Roman"/>
        </w:rPr>
        <w:t>差異</w:t>
      </w:r>
      <w:r w:rsidRPr="00014C11">
        <w:rPr>
          <w:rFonts w:ascii="Times New Roman" w:eastAsia="標楷體" w:hAnsi="Times New Roman" w:cs="Times New Roman"/>
        </w:rPr>
        <w:t xml:space="preserve"> ≤ </w:t>
      </w:r>
      <w:r w:rsidRPr="00014C11">
        <w:rPr>
          <w:rFonts w:ascii="Times New Roman" w:eastAsia="標楷體" w:hAnsi="Times New Roman" w:cs="Times New Roman"/>
        </w:rPr>
        <w:t>0.8%</w:t>
      </w:r>
      <w:r w:rsidRPr="00014C11">
        <w:rPr>
          <w:rFonts w:ascii="Times New Roman" w:eastAsia="標楷體" w:hAnsi="Times New Roman" w:cs="Times New Roman"/>
        </w:rPr>
        <w:t>），可能因三項疾病間的標籤相關性偏低，且任務難度不均導致共享層梯度被較易任務主導。未來可探索動態權重調整（</w:t>
      </w:r>
      <w:r w:rsidRPr="00014C11">
        <w:rPr>
          <w:rFonts w:ascii="Times New Roman" w:eastAsia="標楷體" w:hAnsi="Times New Roman" w:cs="Times New Roman"/>
        </w:rPr>
        <w:t>dynamic</w:t>
      </w:r>
      <w:r w:rsidRPr="00014C11">
        <w:rPr>
          <w:rFonts w:ascii="Times New Roman" w:eastAsia="標楷體" w:hAnsi="Times New Roman" w:cs="Times New Roman"/>
        </w:rPr>
        <w:t xml:space="preserve"> weight </w:t>
      </w:r>
      <w:r w:rsidRPr="00014C11">
        <w:rPr>
          <w:rFonts w:ascii="Times New Roman" w:eastAsia="標楷體" w:hAnsi="Times New Roman" w:cs="Times New Roman"/>
        </w:rPr>
        <w:t>tuning</w:t>
      </w:r>
      <w:r w:rsidRPr="00014C11">
        <w:rPr>
          <w:rFonts w:ascii="Times New Roman" w:eastAsia="標楷體" w:hAnsi="Times New Roman" w:cs="Times New Roman"/>
        </w:rPr>
        <w:t>）或梯度平衡（</w:t>
      </w:r>
      <w:r w:rsidRPr="00014C11">
        <w:rPr>
          <w:rFonts w:ascii="Times New Roman" w:eastAsia="標楷體" w:hAnsi="Times New Roman" w:cs="Times New Roman"/>
        </w:rPr>
        <w:t>gradient</w:t>
      </w:r>
      <w:r w:rsidRPr="00014C11">
        <w:rPr>
          <w:rFonts w:ascii="Times New Roman" w:eastAsia="標楷體" w:hAnsi="Times New Roman" w:cs="Times New Roman"/>
        </w:rPr>
        <w:t xml:space="preserve"> </w:t>
      </w:r>
      <w:r w:rsidRPr="00014C11">
        <w:rPr>
          <w:rFonts w:ascii="Times New Roman" w:eastAsia="標楷體" w:hAnsi="Times New Roman" w:cs="Times New Roman"/>
        </w:rPr>
        <w:t>balancing</w:t>
      </w:r>
      <w:r w:rsidRPr="00014C11">
        <w:rPr>
          <w:rFonts w:ascii="Times New Roman" w:eastAsia="標楷體" w:hAnsi="Times New Roman" w:cs="Times New Roman"/>
        </w:rPr>
        <w:t>）等技術，以改善多任務學習在類別不平衡與任務難度不均場景下的表現。</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可解釋性分析深化</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lastRenderedPageBreak/>
        <w:t>雖然本研究透過</w:t>
      </w:r>
      <w:r w:rsidRPr="00014C11">
        <w:rPr>
          <w:rFonts w:ascii="Times New Roman" w:eastAsia="標楷體" w:hAnsi="Times New Roman" w:cs="Times New Roman"/>
        </w:rPr>
        <w:t xml:space="preserve"> SHAP </w:t>
      </w:r>
      <w:r w:rsidRPr="00014C11">
        <w:rPr>
          <w:rFonts w:ascii="Times New Roman" w:eastAsia="標楷體" w:hAnsi="Times New Roman" w:cs="Times New Roman"/>
        </w:rPr>
        <w:t>與符號回歸進行了初步的可解釋性分析，但仍可進一步探索個體層級的預測解釋（</w:t>
      </w:r>
      <w:r w:rsidRPr="00014C11">
        <w:rPr>
          <w:rFonts w:ascii="Times New Roman" w:eastAsia="標楷體" w:hAnsi="Times New Roman" w:cs="Times New Roman"/>
        </w:rPr>
        <w:t>individual-level</w:t>
      </w:r>
      <w:r w:rsidRPr="00014C11">
        <w:rPr>
          <w:rFonts w:ascii="Times New Roman" w:eastAsia="標楷體" w:hAnsi="Times New Roman" w:cs="Times New Roman"/>
        </w:rPr>
        <w:t xml:space="preserve"> </w:t>
      </w:r>
      <w:r w:rsidRPr="00014C11">
        <w:rPr>
          <w:rFonts w:ascii="Times New Roman" w:eastAsia="標楷體" w:hAnsi="Times New Roman" w:cs="Times New Roman"/>
        </w:rPr>
        <w:t>explanations</w:t>
      </w:r>
      <w:r w:rsidRPr="00014C11">
        <w:rPr>
          <w:rFonts w:ascii="Times New Roman" w:eastAsia="標楷體" w:hAnsi="Times New Roman" w:cs="Times New Roman"/>
        </w:rPr>
        <w:t>）與反事實解釋（</w:t>
      </w:r>
      <w:r w:rsidRPr="00014C11">
        <w:rPr>
          <w:rFonts w:ascii="Times New Roman" w:eastAsia="標楷體" w:hAnsi="Times New Roman" w:cs="Times New Roman"/>
        </w:rPr>
        <w:t>counterfactual</w:t>
      </w:r>
      <w:r w:rsidRPr="00014C11">
        <w:rPr>
          <w:rFonts w:ascii="Times New Roman" w:eastAsia="標楷體" w:hAnsi="Times New Roman" w:cs="Times New Roman"/>
        </w:rPr>
        <w:t xml:space="preserve"> </w:t>
      </w:r>
      <w:r w:rsidRPr="00014C11">
        <w:rPr>
          <w:rFonts w:ascii="Times New Roman" w:eastAsia="標楷體" w:hAnsi="Times New Roman" w:cs="Times New Roman"/>
        </w:rPr>
        <w:t>explanations</w:t>
      </w:r>
      <w:r w:rsidRPr="00014C11">
        <w:rPr>
          <w:rFonts w:ascii="Times New Roman" w:eastAsia="標楷體" w:hAnsi="Times New Roman" w:cs="Times New Roman"/>
        </w:rPr>
        <w:t>），以支持更精細的個人化健康建議。</w:t>
      </w:r>
    </w:p>
    <w:p w:rsidR="002E59B0" w:rsidRPr="00014C11" w:rsidRDefault="00014C11">
      <w:pPr>
        <w:pStyle w:val="3"/>
        <w:rPr>
          <w:rFonts w:ascii="Times New Roman" w:eastAsia="標楷體" w:hAnsi="Times New Roman" w:cs="Times New Roman"/>
        </w:rPr>
      </w:pPr>
      <w:bookmarkStart w:id="10" w:name="納入飲食與生活型態特徵"/>
      <w:bookmarkEnd w:id="9"/>
      <w:r w:rsidRPr="00014C11">
        <w:rPr>
          <w:rFonts w:ascii="Times New Roman" w:eastAsia="標楷體" w:hAnsi="Times New Roman" w:cs="Times New Roman"/>
        </w:rPr>
        <w:t>納入飲食與生活型態特徵</w:t>
      </w:r>
    </w:p>
    <w:p w:rsidR="002E59B0" w:rsidRPr="00014C11" w:rsidRDefault="00014C11">
      <w:pPr>
        <w:pStyle w:val="FirstParagraph"/>
        <w:rPr>
          <w:rFonts w:ascii="Times New Roman" w:eastAsia="標楷體" w:hAnsi="Times New Roman" w:cs="Times New Roman"/>
        </w:rPr>
      </w:pPr>
      <w:r w:rsidRPr="00014C11">
        <w:rPr>
          <w:rFonts w:ascii="Times New Roman" w:eastAsia="標楷體" w:hAnsi="Times New Roman" w:cs="Times New Roman"/>
        </w:rPr>
        <w:t>如前述研究限制所提及，本研究僅使用生理檢驗指標，缺乏飲食與生活型態資料。然而，</w:t>
      </w:r>
      <w:r w:rsidRPr="00014C11">
        <w:rPr>
          <w:rFonts w:ascii="Times New Roman" w:eastAsia="標楷體" w:hAnsi="Times New Roman" w:cs="Times New Roman"/>
        </w:rPr>
        <w:t>DGA</w:t>
      </w:r>
      <w:r w:rsidRPr="00014C11">
        <w:rPr>
          <w:rFonts w:ascii="Times New Roman" w:eastAsia="標楷體" w:hAnsi="Times New Roman" w:cs="Times New Roman"/>
        </w:rPr>
        <w:t xml:space="preserve"> 2025-2030 </w:t>
      </w:r>
      <w:r w:rsidRPr="00014C11">
        <w:rPr>
          <w:rFonts w:ascii="Times New Roman" w:eastAsia="標楷體" w:hAnsi="Times New Roman" w:cs="Times New Roman"/>
        </w:rPr>
        <w:t>明確指出飲食模式</w:t>
      </w:r>
      <w:r w:rsidRPr="00014C11">
        <w:rPr>
          <w:rFonts w:ascii="Times New Roman" w:eastAsia="標楷體" w:hAnsi="Times New Roman" w:cs="Times New Roman"/>
        </w:rPr>
        <w:t>（添加糖攝取、超加工食品頻率、脂肪品質等）與三高疾病具有直接關聯，且飲食介入可預防或減緩疾病進展。若未來研究能取得飲食資料，建議納入超加工食品攝取頻率、添加糖攝取量、飽和脂肪比例等特徵。相較於年齡、性別等不可改變的因子，飲食習慣是高度可干預的風險因子，結合生理指標與飲食特徵預期可同時提升預測性能與健康管理的可操作性。</w:t>
      </w:r>
    </w:p>
    <w:p w:rsidR="002E59B0" w:rsidRPr="00014C11" w:rsidRDefault="00014C11">
      <w:pPr>
        <w:pStyle w:val="3"/>
        <w:rPr>
          <w:rFonts w:ascii="Times New Roman" w:eastAsia="標楷體" w:hAnsi="Times New Roman" w:cs="Times New Roman"/>
        </w:rPr>
      </w:pPr>
      <w:bookmarkStart w:id="11" w:name="模型與資料擴展"/>
      <w:bookmarkEnd w:id="10"/>
      <w:r w:rsidRPr="00014C11">
        <w:rPr>
          <w:rFonts w:ascii="Times New Roman" w:eastAsia="標楷體" w:hAnsi="Times New Roman" w:cs="Times New Roman"/>
        </w:rPr>
        <w:t>模型與資料擴展</w:t>
      </w:r>
    </w:p>
    <w:p w:rsidR="002E59B0" w:rsidRPr="00014C11" w:rsidRDefault="00014C11">
      <w:pPr>
        <w:pStyle w:val="FirstParagraph"/>
        <w:rPr>
          <w:rFonts w:ascii="Times New Roman" w:eastAsia="標楷體" w:hAnsi="Times New Roman" w:cs="Times New Roman"/>
        </w:rPr>
      </w:pPr>
      <w:r w:rsidRPr="00014C11">
        <w:rPr>
          <w:rFonts w:ascii="Times New Roman" w:eastAsia="標楷體" w:hAnsi="Times New Roman" w:cs="Times New Roman"/>
          <w:b/>
          <w:bCs/>
        </w:rPr>
        <w:t>時間序列深度學習</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若未來能取得更長時間序列的健檢資料（如</w:t>
      </w:r>
      <w:r w:rsidRPr="00014C11">
        <w:rPr>
          <w:rFonts w:ascii="Times New Roman" w:eastAsia="標楷體" w:hAnsi="Times New Roman" w:cs="Times New Roman"/>
        </w:rPr>
        <w:t xml:space="preserve"> 5 </w:t>
      </w:r>
      <w:r w:rsidRPr="00014C11">
        <w:rPr>
          <w:rFonts w:ascii="Times New Roman" w:eastAsia="標楷體" w:hAnsi="Times New Roman" w:cs="Times New Roman"/>
        </w:rPr>
        <w:t>個以上時間點），建議探索</w:t>
      </w:r>
      <w:r w:rsidRPr="00014C11">
        <w:rPr>
          <w:rFonts w:ascii="Times New Roman" w:eastAsia="標楷體" w:hAnsi="Times New Roman" w:cs="Times New Roman"/>
        </w:rPr>
        <w:t xml:space="preserve"> LSTM</w:t>
      </w:r>
      <w:r w:rsidRPr="00014C11">
        <w:rPr>
          <w:rFonts w:ascii="Times New Roman" w:eastAsia="標楷體" w:hAnsi="Times New Roman" w:cs="Times New Roman"/>
        </w:rPr>
        <w:t>、</w:t>
      </w:r>
      <w:r w:rsidRPr="00014C11">
        <w:rPr>
          <w:rFonts w:ascii="Times New Roman" w:eastAsia="標楷體" w:hAnsi="Times New Roman" w:cs="Times New Roman"/>
        </w:rPr>
        <w:t xml:space="preserve">GRU </w:t>
      </w:r>
      <w:r w:rsidRPr="00014C11">
        <w:rPr>
          <w:rFonts w:ascii="Times New Roman" w:eastAsia="標楷體" w:hAnsi="Times New Roman" w:cs="Times New Roman"/>
        </w:rPr>
        <w:t>或</w:t>
      </w:r>
      <w:r w:rsidRPr="00014C11">
        <w:rPr>
          <w:rFonts w:ascii="Times New Roman" w:eastAsia="標楷體" w:hAnsi="Times New Roman" w:cs="Times New Roman"/>
        </w:rPr>
        <w:t xml:space="preserve"> Transformer </w:t>
      </w:r>
      <w:r w:rsidRPr="00014C11">
        <w:rPr>
          <w:rFonts w:ascii="Times New Roman" w:eastAsia="標楷體" w:hAnsi="Times New Roman" w:cs="Times New Roman"/>
        </w:rPr>
        <w:t>等深度時間序列模型，以充分利用縱向資料的時</w:t>
      </w:r>
      <w:r w:rsidRPr="00014C11">
        <w:rPr>
          <w:rFonts w:ascii="Times New Roman" w:eastAsia="標楷體" w:hAnsi="Times New Roman" w:cs="Times New Roman"/>
        </w:rPr>
        <w:t>序資訊。</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外部驗證與跨族群研究</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建議與其他健檢中心或研究機構合作，取得外部驗證資料集，評估模型在不同族群、地區的穩健性與外推性。此外，也可探索模型在不同年齡層、性別、疾病嚴重程度的表現差異。</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擴展至其他慢性疾病</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本研究的</w:t>
      </w:r>
      <w:r w:rsidRPr="00014C11">
        <w:rPr>
          <w:rFonts w:ascii="Times New Roman" w:eastAsia="標楷體" w:hAnsi="Times New Roman" w:cs="Times New Roman"/>
        </w:rPr>
        <w:t xml:space="preserve"> Δ </w:t>
      </w:r>
      <w:r w:rsidRPr="00014C11">
        <w:rPr>
          <w:rFonts w:ascii="Times New Roman" w:eastAsia="標楷體" w:hAnsi="Times New Roman" w:cs="Times New Roman"/>
        </w:rPr>
        <w:t>特徵工程方法與模型比較框架可推廣至其他慢性疾病預測，如心血管疾病、腎臟疾病、代謝症候群等，以驗證方法的通用性。</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b/>
          <w:bCs/>
        </w:rPr>
        <w:t>納入多模態資料</w:t>
      </w:r>
    </w:p>
    <w:p w:rsidR="002E59B0" w:rsidRPr="00014C11" w:rsidRDefault="00014C11" w:rsidP="00014C11">
      <w:pPr>
        <w:pStyle w:val="a0"/>
        <w:rPr>
          <w:rFonts w:ascii="Times New Roman" w:eastAsia="標楷體" w:hAnsi="Times New Roman" w:cs="Times New Roman"/>
        </w:rPr>
      </w:pPr>
      <w:r w:rsidRPr="00014C11">
        <w:rPr>
          <w:rFonts w:ascii="Times New Roman" w:eastAsia="標楷體" w:hAnsi="Times New Roman" w:cs="Times New Roman"/>
        </w:rPr>
        <w:t>未來可整合更多元的資料來源，如用藥史、家族病史、基因資料、穿戴式裝置的活動數據等，建立更全面的健康風險評估模型。</w:t>
      </w:r>
    </w:p>
    <w:p w:rsidR="002E59B0" w:rsidRPr="00014C11" w:rsidRDefault="00014C11">
      <w:pPr>
        <w:pStyle w:val="2"/>
        <w:rPr>
          <w:rFonts w:ascii="Times New Roman" w:eastAsia="標楷體" w:hAnsi="Times New Roman" w:cs="Times New Roman"/>
        </w:rPr>
      </w:pPr>
      <w:bookmarkStart w:id="12" w:name="最終總結"/>
      <w:bookmarkEnd w:id="8"/>
      <w:bookmarkEnd w:id="11"/>
      <w:r w:rsidRPr="00014C11">
        <w:rPr>
          <w:rFonts w:ascii="Times New Roman" w:eastAsia="標楷體" w:hAnsi="Times New Roman" w:cs="Times New Roman"/>
        </w:rPr>
        <w:t xml:space="preserve">5.4 </w:t>
      </w:r>
      <w:r w:rsidRPr="00014C11">
        <w:rPr>
          <w:rFonts w:ascii="Times New Roman" w:eastAsia="標楷體" w:hAnsi="Times New Roman" w:cs="Times New Roman"/>
        </w:rPr>
        <w:t>最終總結</w:t>
      </w:r>
    </w:p>
    <w:p w:rsidR="002E59B0" w:rsidRPr="00014C11" w:rsidRDefault="00014C11">
      <w:pPr>
        <w:pStyle w:val="FirstParagraph"/>
        <w:rPr>
          <w:rFonts w:ascii="Times New Roman" w:eastAsia="標楷體" w:hAnsi="Times New Roman" w:cs="Times New Roman"/>
        </w:rPr>
      </w:pPr>
      <w:r w:rsidRPr="00014C11">
        <w:rPr>
          <w:rFonts w:ascii="Times New Roman" w:eastAsia="標楷體" w:hAnsi="Times New Roman" w:cs="Times New Roman"/>
        </w:rPr>
        <w:t>本研究透過縱向健檢資料</w:t>
      </w:r>
      <w:r w:rsidRPr="00014C11">
        <w:rPr>
          <w:rFonts w:ascii="Times New Roman" w:eastAsia="標楷體" w:hAnsi="Times New Roman" w:cs="Times New Roman"/>
        </w:rPr>
        <w:t>與變化量特徵工程，成功建立了三高疾病的早期預測模型。在八種機器學習模型的系統比較中，</w:t>
      </w:r>
      <w:r w:rsidRPr="00014C11">
        <w:rPr>
          <w:rFonts w:ascii="Times New Roman" w:eastAsia="標楷體" w:hAnsi="Times New Roman" w:cs="Times New Roman"/>
        </w:rPr>
        <w:t>Logistic</w:t>
      </w:r>
      <w:r w:rsidRPr="00014C11">
        <w:rPr>
          <w:rFonts w:ascii="Times New Roman" w:eastAsia="標楷體" w:hAnsi="Times New Roman" w:cs="Times New Roman"/>
        </w:rPr>
        <w:t xml:space="preserve"> Regression </w:t>
      </w:r>
      <w:r w:rsidRPr="00014C11">
        <w:rPr>
          <w:rFonts w:ascii="Times New Roman" w:eastAsia="標楷體" w:hAnsi="Times New Roman" w:cs="Times New Roman"/>
        </w:rPr>
        <w:t>展現最穩定的表現（高血糖</w:t>
      </w:r>
      <w:r w:rsidRPr="00014C11">
        <w:rPr>
          <w:rFonts w:ascii="Times New Roman" w:eastAsia="標楷體" w:hAnsi="Times New Roman" w:cs="Times New Roman"/>
        </w:rPr>
        <w:t xml:space="preserve"> AUC </w:t>
      </w:r>
      <w:r w:rsidRPr="00014C11">
        <w:rPr>
          <w:rFonts w:ascii="Times New Roman" w:eastAsia="標楷體" w:hAnsi="Times New Roman" w:cs="Times New Roman"/>
        </w:rPr>
        <w:t>0.938</w:t>
      </w:r>
      <w:r w:rsidRPr="00014C11">
        <w:rPr>
          <w:rFonts w:ascii="Times New Roman" w:eastAsia="標楷體" w:hAnsi="Times New Roman" w:cs="Times New Roman"/>
        </w:rPr>
        <w:t>），且僅需</w:t>
      </w:r>
      <w:r w:rsidRPr="00014C11">
        <w:rPr>
          <w:rFonts w:ascii="Times New Roman" w:eastAsia="標楷體" w:hAnsi="Times New Roman" w:cs="Times New Roman"/>
        </w:rPr>
        <w:t xml:space="preserve"> 5 </w:t>
      </w:r>
      <w:r w:rsidRPr="00014C11">
        <w:rPr>
          <w:rFonts w:ascii="Times New Roman" w:eastAsia="標楷體" w:hAnsi="Times New Roman" w:cs="Times New Roman"/>
        </w:rPr>
        <w:t>個關鍵特徵即可維持接近完整效能。</w:t>
      </w:r>
      <w:r w:rsidRPr="00014C11">
        <w:rPr>
          <w:rFonts w:ascii="Times New Roman" w:eastAsia="標楷體" w:hAnsi="Times New Roman" w:cs="Times New Roman"/>
        </w:rPr>
        <w:t>Δ</w:t>
      </w:r>
      <w:r w:rsidRPr="00014C11">
        <w:rPr>
          <w:rFonts w:ascii="Times New Roman" w:eastAsia="標楷體" w:hAnsi="Times New Roman" w:cs="Times New Roman"/>
        </w:rPr>
        <w:t xml:space="preserve"> </w:t>
      </w:r>
      <w:r w:rsidRPr="00014C11">
        <w:rPr>
          <w:rFonts w:ascii="Times New Roman" w:eastAsia="標楷體" w:hAnsi="Times New Roman" w:cs="Times New Roman"/>
        </w:rPr>
        <w:t>特徵在資料受限情境下可帶來約</w:t>
      </w:r>
      <w:r w:rsidRPr="00014C11">
        <w:rPr>
          <w:rFonts w:ascii="Times New Roman" w:eastAsia="標楷體" w:hAnsi="Times New Roman" w:cs="Times New Roman"/>
        </w:rPr>
        <w:t xml:space="preserve"> 2% </w:t>
      </w:r>
      <w:r w:rsidRPr="00014C11">
        <w:rPr>
          <w:rFonts w:ascii="Times New Roman" w:eastAsia="標楷體" w:hAnsi="Times New Roman" w:cs="Times New Roman"/>
        </w:rPr>
        <w:t>的</w:t>
      </w:r>
      <w:r w:rsidRPr="00014C11">
        <w:rPr>
          <w:rFonts w:ascii="Times New Roman" w:eastAsia="標楷體" w:hAnsi="Times New Roman" w:cs="Times New Roman"/>
        </w:rPr>
        <w:t xml:space="preserve"> AUC </w:t>
      </w:r>
      <w:r w:rsidRPr="00014C11">
        <w:rPr>
          <w:rFonts w:ascii="Times New Roman" w:eastAsia="標楷體" w:hAnsi="Times New Roman" w:cs="Times New Roman"/>
        </w:rPr>
        <w:t>提升，並在</w:t>
      </w:r>
      <w:r w:rsidRPr="00014C11">
        <w:rPr>
          <w:rFonts w:ascii="Times New Roman" w:eastAsia="標楷體" w:hAnsi="Times New Roman" w:cs="Times New Roman"/>
        </w:rPr>
        <w:t xml:space="preserve"> Top 10 </w:t>
      </w:r>
      <w:r w:rsidRPr="00014C11">
        <w:rPr>
          <w:rFonts w:ascii="Times New Roman" w:eastAsia="標楷體" w:hAnsi="Times New Roman" w:cs="Times New Roman"/>
        </w:rPr>
        <w:t>重要特徵中佔比達</w:t>
      </w:r>
      <w:r w:rsidRPr="00014C11">
        <w:rPr>
          <w:rFonts w:ascii="Times New Roman" w:eastAsia="標楷體" w:hAnsi="Times New Roman" w:cs="Times New Roman"/>
        </w:rPr>
        <w:t xml:space="preserve"> </w:t>
      </w:r>
      <w:r w:rsidRPr="00014C11">
        <w:rPr>
          <w:rFonts w:ascii="Times New Roman" w:eastAsia="標楷體" w:hAnsi="Times New Roman" w:cs="Times New Roman"/>
        </w:rPr>
        <w:t>30-50%</w:t>
      </w:r>
      <w:r w:rsidRPr="00014C11">
        <w:rPr>
          <w:rFonts w:ascii="Times New Roman" w:eastAsia="標楷體" w:hAnsi="Times New Roman" w:cs="Times New Roman"/>
        </w:rPr>
        <w:t>，驗證了縱向特徵工程的價值。此外，健檢次數實驗發現高血壓預測對縱向資料的依賴度遠高於其他疾病，</w:t>
      </w:r>
      <w:r w:rsidRPr="00014C11">
        <w:rPr>
          <w:rFonts w:ascii="Times New Roman" w:eastAsia="標楷體" w:hAnsi="Times New Roman" w:cs="Times New Roman"/>
        </w:rPr>
        <w:t>4</w:t>
      </w:r>
      <w:r w:rsidRPr="00014C11">
        <w:rPr>
          <w:rFonts w:ascii="Times New Roman" w:eastAsia="標楷體" w:hAnsi="Times New Roman" w:cs="Times New Roman"/>
        </w:rPr>
        <w:t xml:space="preserve"> </w:t>
      </w:r>
      <w:r w:rsidRPr="00014C11">
        <w:rPr>
          <w:rFonts w:ascii="Times New Roman" w:eastAsia="標楷體" w:hAnsi="Times New Roman" w:cs="Times New Roman"/>
        </w:rPr>
        <w:lastRenderedPageBreak/>
        <w:t>次健檢較</w:t>
      </w:r>
      <w:r w:rsidRPr="00014C11">
        <w:rPr>
          <w:rFonts w:ascii="Times New Roman" w:eastAsia="標楷體" w:hAnsi="Times New Roman" w:cs="Times New Roman"/>
        </w:rPr>
        <w:t xml:space="preserve"> 1 </w:t>
      </w:r>
      <w:r w:rsidRPr="00014C11">
        <w:rPr>
          <w:rFonts w:ascii="Times New Roman" w:eastAsia="標楷體" w:hAnsi="Times New Roman" w:cs="Times New Roman"/>
        </w:rPr>
        <w:t>次健檢提升</w:t>
      </w:r>
      <w:r w:rsidRPr="00014C11">
        <w:rPr>
          <w:rFonts w:ascii="Times New Roman" w:eastAsia="標楷體" w:hAnsi="Times New Roman" w:cs="Times New Roman"/>
        </w:rPr>
        <w:t xml:space="preserve"> 16.9 </w:t>
      </w:r>
      <w:r w:rsidRPr="00014C11">
        <w:rPr>
          <w:rFonts w:ascii="Times New Roman" w:eastAsia="標楷體" w:hAnsi="Times New Roman" w:cs="Times New Roman"/>
        </w:rPr>
        <w:t>個百分點。透過類別不平衡處理、資料篩選策略與多任務學習等多項對比實驗，本研究亦驗證了方法的穩健性。</w:t>
      </w:r>
    </w:p>
    <w:p w:rsidR="002E59B0" w:rsidRPr="00014C11" w:rsidRDefault="00014C11">
      <w:pPr>
        <w:pStyle w:val="a0"/>
        <w:rPr>
          <w:rFonts w:ascii="Times New Roman" w:eastAsia="標楷體" w:hAnsi="Times New Roman" w:cs="Times New Roman"/>
        </w:rPr>
      </w:pPr>
      <w:r w:rsidRPr="00014C11">
        <w:rPr>
          <w:rFonts w:ascii="Times New Roman" w:eastAsia="標楷體" w:hAnsi="Times New Roman" w:cs="Times New Roman"/>
        </w:rPr>
        <w:t>本研究的核心價值在於：</w:t>
      </w:r>
      <w:r w:rsidRPr="00014C11">
        <w:rPr>
          <w:rFonts w:ascii="Times New Roman" w:eastAsia="標楷體" w:hAnsi="Times New Roman" w:cs="Times New Roman"/>
          <w:b/>
          <w:bCs/>
        </w:rPr>
        <w:t>利用容易取得的縱向健檢資料，透過簡單但有效的特徵工程與線性模型，即可達到優異的預測性能</w:t>
      </w:r>
      <w:r w:rsidRPr="00014C11">
        <w:rPr>
          <w:rFonts w:ascii="Times New Roman" w:eastAsia="標楷體" w:hAnsi="Times New Roman" w:cs="Times New Roman"/>
        </w:rPr>
        <w:t>。無論是</w:t>
      </w:r>
      <w:r w:rsidRPr="00014C11">
        <w:rPr>
          <w:rFonts w:ascii="Times New Roman" w:eastAsia="標楷體" w:hAnsi="Times New Roman" w:cs="Times New Roman"/>
        </w:rPr>
        <w:t xml:space="preserve"> Logistic Regression </w:t>
      </w:r>
      <w:r w:rsidRPr="00014C11">
        <w:rPr>
          <w:rFonts w:ascii="Times New Roman" w:eastAsia="標楷體" w:hAnsi="Times New Roman" w:cs="Times New Roman"/>
        </w:rPr>
        <w:t>的穩定表現、</w:t>
      </w:r>
      <w:r w:rsidRPr="00014C11">
        <w:rPr>
          <w:rFonts w:ascii="Times New Roman" w:eastAsia="標楷體" w:hAnsi="Times New Roman" w:cs="Times New Roman"/>
        </w:rPr>
        <w:t>Top</w:t>
      </w:r>
      <w:r w:rsidRPr="00014C11">
        <w:rPr>
          <w:rFonts w:ascii="Times New Roman" w:eastAsia="標楷體" w:hAnsi="Times New Roman" w:cs="Times New Roman"/>
        </w:rPr>
        <w:t xml:space="preserve"> 5 </w:t>
      </w:r>
      <w:r w:rsidRPr="00014C11">
        <w:rPr>
          <w:rFonts w:ascii="Times New Roman" w:eastAsia="標楷體" w:hAnsi="Times New Roman" w:cs="Times New Roman"/>
        </w:rPr>
        <w:t>特徵的精簡模型，或是符號回歸發現的單變數公式（如高血糖</w:t>
      </w:r>
      <w:r w:rsidRPr="00014C11">
        <w:rPr>
          <w:rFonts w:ascii="Times New Roman" w:eastAsia="標楷體" w:hAnsi="Times New Roman" w:cs="Times New Roman"/>
        </w:rPr>
        <w:t xml:space="preserve"> </w:t>
      </w:r>
      <m:oMath>
        <m:r>
          <w:rPr>
            <w:rFonts w:ascii="Cambria Math" w:eastAsia="標楷體" w:hAnsi="Cambria Math" w:cs="Times New Roman"/>
          </w:rPr>
          <m:t>0.114</m:t>
        </m:r>
        <m:r>
          <m:rPr>
            <m:sty m:val="p"/>
          </m:rPr>
          <w:rPr>
            <w:rFonts w:ascii="Cambria Math" w:eastAsia="標楷體" w:hAnsi="Cambria Math" w:cs="Times New Roman"/>
          </w:rPr>
          <m:t>×</m:t>
        </m:r>
        <m:r>
          <w:rPr>
            <w:rFonts w:ascii="Cambria Math" w:eastAsia="標楷體" w:hAnsi="Cambria Math" w:cs="Times New Roman"/>
          </w:rPr>
          <m:t>FB</m:t>
        </m:r>
        <m:sSub>
          <m:sSubPr>
            <m:ctrlPr>
              <w:rPr>
                <w:rFonts w:ascii="Cambria Math" w:eastAsia="標楷體" w:hAnsi="Cambria Math" w:cs="Times New Roman"/>
              </w:rPr>
            </m:ctrlPr>
          </m:sSubPr>
          <m:e>
            <m:r>
              <w:rPr>
                <w:rFonts w:ascii="Cambria Math" w:eastAsia="標楷體" w:hAnsi="Cambria Math" w:cs="Times New Roman"/>
              </w:rPr>
              <m:t>G</m:t>
            </m:r>
          </m:e>
          <m:sub>
            <m:r>
              <w:rPr>
                <w:rFonts w:ascii="Cambria Math" w:eastAsia="標楷體" w:hAnsi="Cambria Math" w:cs="Times New Roman"/>
              </w:rPr>
              <m:t>Y</m:t>
            </m:r>
            <m:r>
              <m:rPr>
                <m:sty m:val="p"/>
              </m:rPr>
              <w:rPr>
                <w:rFonts w:ascii="Cambria Math" w:eastAsia="標楷體" w:hAnsi="Cambria Math" w:cs="Times New Roman"/>
              </w:rPr>
              <m:t>-</m:t>
            </m:r>
            <m:r>
              <w:rPr>
                <w:rFonts w:ascii="Cambria Math" w:eastAsia="標楷體" w:hAnsi="Cambria Math" w:cs="Times New Roman"/>
              </w:rPr>
              <m:t>1</m:t>
            </m:r>
          </m:sub>
        </m:sSub>
      </m:oMath>
      <w:r w:rsidRPr="00014C11">
        <w:rPr>
          <w:rFonts w:ascii="Times New Roman" w:eastAsia="標楷體" w:hAnsi="Times New Roman" w:cs="Times New Roman"/>
        </w:rPr>
        <w:t>，</w:t>
      </w:r>
      <w:r w:rsidRPr="00014C11">
        <w:rPr>
          <w:rFonts w:ascii="Times New Roman" w:eastAsia="標楷體" w:hAnsi="Times New Roman" w:cs="Times New Roman"/>
        </w:rPr>
        <w:t>AUC</w:t>
      </w:r>
      <w:r w:rsidRPr="00014C11">
        <w:rPr>
          <w:rFonts w:ascii="Times New Roman" w:eastAsia="標楷體" w:hAnsi="Times New Roman" w:cs="Times New Roman"/>
        </w:rPr>
        <w:t xml:space="preserve"> </w:t>
      </w:r>
      <w:r w:rsidRPr="00014C11">
        <w:rPr>
          <w:rFonts w:ascii="Times New Roman" w:eastAsia="標楷體" w:hAnsi="Times New Roman" w:cs="Times New Roman"/>
        </w:rPr>
        <w:t>0.943</w:t>
      </w:r>
      <w:r w:rsidRPr="00014C11">
        <w:rPr>
          <w:rFonts w:ascii="Times New Roman" w:eastAsia="標楷體" w:hAnsi="Times New Roman" w:cs="Times New Roman"/>
        </w:rPr>
        <w:t>），皆指向同一結論：在結構化健檢資料上，簡單方法已足以提供臨床可用的預測能力，無需複雜的深度學習模型或昂貴的檢驗項目，即可</w:t>
      </w:r>
      <w:r w:rsidRPr="00014C11">
        <w:rPr>
          <w:rFonts w:ascii="Times New Roman" w:eastAsia="標楷體" w:hAnsi="Times New Roman" w:cs="Times New Roman"/>
        </w:rPr>
        <w:t>在基層醫療單位實施早期預警系統。</w:t>
      </w:r>
    </w:p>
    <w:p w:rsidR="002E59B0" w:rsidRPr="00014C11" w:rsidRDefault="00014C11" w:rsidP="00014C11">
      <w:pPr>
        <w:pStyle w:val="a0"/>
        <w:rPr>
          <w:rFonts w:ascii="Times New Roman" w:eastAsia="標楷體" w:hAnsi="Times New Roman" w:cs="Times New Roman" w:hint="eastAsia"/>
          <w:lang w:eastAsia="zh-TW"/>
        </w:rPr>
      </w:pPr>
      <w:r w:rsidRPr="00014C11">
        <w:rPr>
          <w:rFonts w:ascii="Times New Roman" w:eastAsia="標楷體" w:hAnsi="Times New Roman" w:cs="Times New Roman"/>
        </w:rPr>
        <w:t>展望未來，隨著健康資料的多元化（飲食、運動、基因等）與資料科學方法的進步，慢性疾病的早期預測將更加精準與個人化。本研究提出的</w:t>
      </w:r>
      <w:r w:rsidRPr="00014C11">
        <w:rPr>
          <w:rFonts w:ascii="Times New Roman" w:eastAsia="標楷體" w:hAnsi="Times New Roman" w:cs="Times New Roman"/>
        </w:rPr>
        <w:t xml:space="preserve"> Δ </w:t>
      </w:r>
      <w:r w:rsidRPr="00014C11">
        <w:rPr>
          <w:rFonts w:ascii="Times New Roman" w:eastAsia="標楷體" w:hAnsi="Times New Roman" w:cs="Times New Roman"/>
        </w:rPr>
        <w:t>特徵工程方法與模型比較框架，可作為未來研究的基礎，持續優化與擴展。最終，我們期待這些研究成果能轉化為實際的公共衛生效益，降低三高疾病的發生率，提升國民整體健康水平。</w:t>
      </w:r>
      <w:bookmarkEnd w:id="0"/>
      <w:bookmarkEnd w:id="12"/>
    </w:p>
    <w:sectPr w:rsidR="002E59B0" w:rsidRPr="00014C11" w:rsidSect="000C688A">
      <w:footnotePr>
        <w:numRestart w:val="eachSect"/>
      </w:footnotePr>
      <w:pgSz w:w="12240" w:h="15840"/>
      <w:pgMar w:top="1985" w:right="1418" w:bottom="1418"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D95C32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A99411"/>
    <w:multiLevelType w:val="multilevel"/>
    <w:tmpl w:val="58D07A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170CD2DE"/>
    <w:multiLevelType w:val="multilevel"/>
    <w:tmpl w:val="B534063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2"/>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69253F"/>
    <w:rsid w:val="00014C11"/>
    <w:rsid w:val="000C688A"/>
    <w:rsid w:val="002D44E1"/>
    <w:rsid w:val="002E59B0"/>
    <w:rsid w:val="0069253F"/>
    <w:rsid w:val="008D1BC4"/>
    <w:rsid w:val="00C73B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67"/>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Balloon Text"/>
    <w:basedOn w:val="a"/>
    <w:link w:val="af2"/>
    <w:rsid w:val="00014C11"/>
    <w:pPr>
      <w:spacing w:after="0"/>
    </w:pPr>
    <w:rPr>
      <w:rFonts w:asciiTheme="majorHAnsi" w:eastAsiaTheme="majorEastAsia" w:hAnsiTheme="majorHAnsi" w:cstheme="majorBidi"/>
      <w:sz w:val="18"/>
      <w:szCs w:val="18"/>
    </w:rPr>
  </w:style>
  <w:style w:type="character" w:customStyle="1" w:styleId="af2">
    <w:name w:val="註解方塊文字 字元"/>
    <w:basedOn w:val="a1"/>
    <w:link w:val="af1"/>
    <w:rsid w:val="00014C11"/>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775</Words>
  <Characters>4423</Characters>
  <Application>Microsoft Office Word</Application>
  <DocSecurity>0</DocSecurity>
  <Lines>36</Lines>
  <Paragraphs>10</Paragraphs>
  <ScaleCrop>false</ScaleCrop>
  <Company/>
  <LinksUpToDate>false</LinksUpToDate>
  <CharactersWithSpaces>5188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紀伯喬</cp:lastModifiedBy>
  <cp:revision>2</cp:revision>
  <dcterms:created xsi:type="dcterms:W3CDTF">2026-02-05T07:51:00Z</dcterms:created>
  <dcterms:modified xsi:type="dcterms:W3CDTF">2026-02-05T07:53:00Z</dcterms:modified>
</cp:coreProperties>
</file>