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6E17" w:rsidRPr="009C7007" w:rsidRDefault="009C7007">
      <w:pPr>
        <w:pStyle w:val="1"/>
        <w:rPr>
          <w:rFonts w:ascii="Times New Roman" w:hAnsi="Times New Roman" w:cs="Times New Roman"/>
        </w:rPr>
      </w:pPr>
      <w:bookmarkStart w:id="0" w:name="abstract"/>
      <w:r w:rsidRPr="009C7007">
        <w:rPr>
          <w:rFonts w:ascii="Times New Roman" w:hAnsi="Times New Roman" w:cs="Times New Roman"/>
        </w:rPr>
        <w:t>Abstract</w:t>
      </w:r>
      <w:bookmarkStart w:id="1" w:name="_GoBack"/>
      <w:bookmarkEnd w:id="1"/>
    </w:p>
    <w:p w:rsidR="00AD6E17" w:rsidRPr="009C7007" w:rsidRDefault="009C7007">
      <w:pPr>
        <w:pStyle w:val="FirstParagraph"/>
        <w:rPr>
          <w:rFonts w:ascii="Times New Roman" w:hAnsi="Times New Roman" w:cs="Times New Roman"/>
        </w:rPr>
      </w:pPr>
      <w:r w:rsidRPr="009C7007">
        <w:rPr>
          <w:rFonts w:ascii="Times New Roman" w:hAnsi="Times New Roman" w:cs="Times New Roman"/>
          <w:b/>
          <w:bCs/>
        </w:rPr>
        <w:t>Title</w:t>
      </w:r>
      <w:r w:rsidRPr="009C7007">
        <w:rPr>
          <w:rFonts w:ascii="Times New Roman" w:hAnsi="Times New Roman" w:cs="Times New Roman"/>
        </w:rPr>
        <w:t>: Predicting Hypertension, Hyperglycemia, and Dyslipidemia Using Longitudinal Health Checkup Data with Delta Features: A Multi-Model Comparative Study</w:t>
      </w:r>
    </w:p>
    <w:p w:rsidR="00AD6E17" w:rsidRPr="009C7007" w:rsidRDefault="009C7007">
      <w:pPr>
        <w:pStyle w:val="a0"/>
        <w:rPr>
          <w:rFonts w:ascii="Times New Roman" w:hAnsi="Times New Roman" w:cs="Times New Roman"/>
        </w:rPr>
      </w:pPr>
      <w:r w:rsidRPr="009C7007">
        <w:rPr>
          <w:rFonts w:ascii="Times New Roman" w:hAnsi="Times New Roman" w:cs="Times New Roman"/>
        </w:rPr>
        <w:t>Hypertension, hyperglycemia, and dyslipidemia—collectively known as the “three highs”</w:t>
      </w:r>
      <w:r w:rsidRPr="009C7007">
        <w:rPr>
          <w:rFonts w:ascii="Times New Roman" w:hAnsi="Times New Roman" w:cs="Times New Roman"/>
        </w:rPr>
        <w:t>—are major chronic diseases and key modifiable risk factors for cardiovascular disease. Conventional risk assessment methods rely on single-timepoint examination data, failing to capture the dynamic health trajectories embedded in longitudinal records. Thi</w:t>
      </w:r>
      <w:r w:rsidRPr="009C7007">
        <w:rPr>
          <w:rFonts w:ascii="Times New Roman" w:hAnsi="Times New Roman" w:cs="Times New Roman"/>
        </w:rPr>
        <w:t>s study aims to leverage longitudinal health checkup data and delta features (Δ features) to predict future disease risk while balancing predictive accuracy and model interpretability.</w:t>
      </w:r>
    </w:p>
    <w:p w:rsidR="00AD6E17" w:rsidRPr="009C7007" w:rsidRDefault="009C7007">
      <w:pPr>
        <w:pStyle w:val="a0"/>
        <w:rPr>
          <w:rFonts w:ascii="Times New Roman" w:hAnsi="Times New Roman" w:cs="Times New Roman"/>
        </w:rPr>
      </w:pPr>
      <w:r w:rsidRPr="009C7007">
        <w:rPr>
          <w:rFonts w:ascii="Times New Roman" w:hAnsi="Times New Roman" w:cs="Times New Roman"/>
        </w:rPr>
        <w:t>We utilized a publicly available longitudinal health checkup dataset (L</w:t>
      </w:r>
      <w:r w:rsidRPr="009C7007">
        <w:rPr>
          <w:rFonts w:ascii="Times New Roman" w:hAnsi="Times New Roman" w:cs="Times New Roman"/>
        </w:rPr>
        <w:t xml:space="preserve">uo et al., 2024, Dryad repository) comprising 6,056 community-dwelling adults aged 40 and above from Hangzhou, China, followed between 2010 and 2018. A three-timepoint longitudinal design (Y-2, Y-1, Y0; approximately two-year intervals) was adopted, using </w:t>
      </w:r>
      <w:r w:rsidRPr="009C7007">
        <w:rPr>
          <w:rFonts w:ascii="Times New Roman" w:hAnsi="Times New Roman" w:cs="Times New Roman"/>
        </w:rPr>
        <w:t>health indicators and their changes (Δ features) from Y-2 and Y-1 as input to predict disease status at Y0. A sliding window approach generated 13,514 modeling records. Eight models were systematically compared: traditional statistical methods (Logistic Re</w:t>
      </w:r>
      <w:r w:rsidRPr="009C7007">
        <w:rPr>
          <w:rFonts w:ascii="Times New Roman" w:hAnsi="Times New Roman" w:cs="Times New Roman"/>
        </w:rPr>
        <w:t>gression, Naive Bayes, LDA), tree-based models (Decision Tree, Random Forest, XGBoost), kernel method (SVM), and neural network (MLP), with symbolic regression (PySR) additionally employed to explore interpretability. StratifiedGroupKFold 5-fold cross-vali</w:t>
      </w:r>
      <w:r w:rsidRPr="009C7007">
        <w:rPr>
          <w:rFonts w:ascii="Times New Roman" w:hAnsi="Times New Roman" w:cs="Times New Roman"/>
        </w:rPr>
        <w:t>dation ensured no data leakage across participants while maintaining class proportions in each fold.</w:t>
      </w:r>
    </w:p>
    <w:p w:rsidR="00AD6E17" w:rsidRPr="009C7007" w:rsidRDefault="009C7007">
      <w:pPr>
        <w:pStyle w:val="a0"/>
        <w:rPr>
          <w:rFonts w:ascii="Times New Roman" w:hAnsi="Times New Roman" w:cs="Times New Roman"/>
        </w:rPr>
      </w:pPr>
      <w:r w:rsidRPr="009C7007">
        <w:rPr>
          <w:rFonts w:ascii="Times New Roman" w:hAnsi="Times New Roman" w:cs="Times New Roman"/>
        </w:rPr>
        <w:t>Key findings include: (1) Logistic Regression demonstrated consistently strong performance across all three tasks, achieving AUC 0.938 for hyperglycemia pr</w:t>
      </w:r>
      <w:r w:rsidRPr="009C7007">
        <w:rPr>
          <w:rFonts w:ascii="Times New Roman" w:hAnsi="Times New Roman" w:cs="Times New Roman"/>
        </w:rPr>
        <w:t xml:space="preserve">ediction; (2) Δ features provided 1.5%–2.3% AUC improvement in data-limited scenarios (Y-1 only) and comprised 30–50% of the top 10 important features; (3) SHAP analysis revealed disease-specific predictors—SBP/DBP for hypertension, FBG for hyperglycemia, </w:t>
      </w:r>
      <w:r w:rsidRPr="009C7007">
        <w:rPr>
          <w:rFonts w:ascii="Times New Roman" w:hAnsi="Times New Roman" w:cs="Times New Roman"/>
        </w:rPr>
        <w:t>and TC/ΔeGFR for dyslipidemia; (4) symbolic regression discovered a minimal formula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9C7007">
        <w:rPr>
          <w:rFonts w:ascii="Times New Roman" w:hAnsi="Times New Roman" w:cs="Times New Roman"/>
        </w:rPr>
        <w:t>) achieving AUC 0.943, demonstrating the practical potential of interpretable AI; (5) increasing health checkup frequency was positively correlated with pr</w:t>
      </w:r>
      <w:r w:rsidRPr="009C7007">
        <w:rPr>
          <w:rFonts w:ascii="Times New Roman" w:hAnsi="Times New Roman" w:cs="Times New Roman"/>
        </w:rPr>
        <w:t>ediction performance across all three diseases; and (6) using only the top 5 features resulted in less than 0.5% AUC decrease, confirming the feasibility of parsimonious models.</w:t>
      </w:r>
    </w:p>
    <w:p w:rsidR="00AD6E17" w:rsidRPr="009C7007" w:rsidRDefault="009C7007">
      <w:pPr>
        <w:pStyle w:val="a0"/>
        <w:rPr>
          <w:rFonts w:ascii="Times New Roman" w:hAnsi="Times New Roman" w:cs="Times New Roman"/>
        </w:rPr>
      </w:pPr>
      <w:r w:rsidRPr="009C7007">
        <w:rPr>
          <w:rFonts w:ascii="Times New Roman" w:hAnsi="Times New Roman" w:cs="Times New Roman"/>
        </w:rPr>
        <w:t>This study demonstrates that readily accessible longitudinal health checkup da</w:t>
      </w:r>
      <w:r w:rsidRPr="009C7007">
        <w:rPr>
          <w:rFonts w:ascii="Times New Roman" w:hAnsi="Times New Roman" w:cs="Times New Roman"/>
        </w:rPr>
        <w:t>ta, combined with simple feature engineering and linear models, can achieve clinically useful predictive performance without complex deep learning models or expensive laboratory tests, making it suitable for deployment as an early warning system in primary</w:t>
      </w:r>
      <w:r w:rsidRPr="009C7007">
        <w:rPr>
          <w:rFonts w:ascii="Times New Roman" w:hAnsi="Times New Roman" w:cs="Times New Roman"/>
        </w:rPr>
        <w:t xml:space="preserve"> healthcare settings.</w:t>
      </w:r>
    </w:p>
    <w:p w:rsidR="00AD6E17" w:rsidRPr="009C7007" w:rsidRDefault="009C7007">
      <w:pPr>
        <w:pStyle w:val="a0"/>
        <w:rPr>
          <w:rFonts w:ascii="Times New Roman" w:hAnsi="Times New Roman" w:cs="Times New Roman"/>
        </w:rPr>
      </w:pPr>
      <w:r w:rsidRPr="009C7007">
        <w:rPr>
          <w:rFonts w:ascii="Times New Roman" w:hAnsi="Times New Roman" w:cs="Times New Roman"/>
          <w:b/>
          <w:bCs/>
        </w:rPr>
        <w:t>Keywords</w:t>
      </w:r>
      <w:r w:rsidRPr="009C7007">
        <w:rPr>
          <w:rFonts w:ascii="Times New Roman" w:hAnsi="Times New Roman" w:cs="Times New Roman"/>
        </w:rPr>
        <w:t>: Hypertension, Hyperglycemia, Dyslipidemia, Machine Learning, Longitudinal Data, Delta Features, SHAP Interpretability, Symbolic Regression</w:t>
      </w:r>
      <w:bookmarkEnd w:id="0"/>
    </w:p>
    <w:sectPr w:rsidR="00AD6E17" w:rsidRPr="009C7007" w:rsidSect="000C688A">
      <w:footnotePr>
        <w:numRestart w:val="eachSect"/>
      </w:footnotePr>
      <w:pgSz w:w="12240" w:h="15840"/>
      <w:pgMar w:top="1985" w:right="1418" w:bottom="1418" w:left="170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3"/>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0"/>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69253F"/>
    <w:rsid w:val="000C688A"/>
    <w:rsid w:val="002D44E1"/>
    <w:rsid w:val="00357525"/>
    <w:rsid w:val="00382557"/>
    <w:rsid w:val="0069253F"/>
    <w:rsid w:val="008D1BC4"/>
    <w:rsid w:val="009C7007"/>
    <w:rsid w:val="00A2729A"/>
    <w:rsid w:val="00AD6E17"/>
    <w:rsid w:val="00B74614"/>
    <w:rsid w:val="00C73B26"/>
    <w:rsid w:val="00D70EEA"/>
    <w:rsid w:val="00E16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67"/>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Balloon Text"/>
    <w:basedOn w:val="a"/>
    <w:link w:val="af2"/>
    <w:rsid w:val="00A2729A"/>
    <w:pPr>
      <w:spacing w:after="0"/>
    </w:pPr>
    <w:rPr>
      <w:rFonts w:asciiTheme="majorHAnsi" w:eastAsiaTheme="majorEastAsia" w:hAnsiTheme="majorHAnsi" w:cstheme="majorBidi"/>
      <w:sz w:val="18"/>
      <w:szCs w:val="18"/>
    </w:rPr>
  </w:style>
  <w:style w:type="character" w:customStyle="1" w:styleId="af2">
    <w:name w:val="註解方塊文字 字元"/>
    <w:basedOn w:val="a1"/>
    <w:link w:val="af1"/>
    <w:rsid w:val="00A2729A"/>
    <w:rPr>
      <w:rFonts w:asciiTheme="majorHAnsi" w:eastAsiaTheme="majorEastAsia" w:hAnsiTheme="majorHAnsi" w:cstheme="majorBid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445</Words>
  <Characters>2539</Characters>
  <Application>Microsoft Office Word</Application>
  <DocSecurity>0</DocSecurity>
  <Lines>21</Lines>
  <Paragraphs>5</Paragraphs>
  <ScaleCrop>false</ScaleCrop>
  <Company/>
  <LinksUpToDate>false</LinksUpToDate>
  <CharactersWithSpaces>2979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紀伯喬</cp:lastModifiedBy>
  <cp:revision>2</cp:revision>
  <dcterms:created xsi:type="dcterms:W3CDTF">2026-02-11T06:20:00Z</dcterms:created>
  <dcterms:modified xsi:type="dcterms:W3CDTF">2026-02-11T06:24:00Z</dcterms:modified>
</cp:coreProperties>
</file>