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參考文獻"/>
    <w:p>
      <w:pPr>
        <w:pStyle w:val="1"/>
      </w:pPr>
      <w:r>
        <w:rPr>
          <w:rFonts w:hint="eastAsia"/>
        </w:rPr>
        <w:t xml:space="preserve">參考文獻</w:t>
      </w:r>
    </w:p>
    <w:p>
      <w:pPr>
        <w:pStyle w:val="FirstParagraph"/>
      </w:pPr>
      <w:r>
        <w:t xml:space="preserve">[1] World Heart Federation,</w:t>
      </w:r>
      <w:r>
        <w:t xml:space="preserve"> </w:t>
      </w:r>
      <w:r>
        <w:rPr>
          <w:i/>
          <w:iCs/>
        </w:rPr>
        <w:t xml:space="preserve">World Heart Report 2023: Confronting the World’s Number One Killer</w:t>
      </w:r>
      <w:r>
        <w:t xml:space="preserve">. WHF, 2023. [Online]. Available: https://world-heart-federation.org/world-heart-report-2023/</w:t>
      </w:r>
    </w:p>
    <w:p>
      <w:pPr>
        <w:pStyle w:val="a0"/>
      </w:pPr>
      <w:r>
        <w:t xml:space="preserve">[2] World Health Organization,</w:t>
      </w:r>
      <w:r>
        <w:t xml:space="preserve"> </w:t>
      </w:r>
      <w:r>
        <w:rPr>
          <w:i/>
          <w:iCs/>
        </w:rPr>
        <w:t xml:space="preserve">Global Report on Hypertension: The Race Against a Silent Killer</w:t>
      </w:r>
      <w:r>
        <w:t xml:space="preserve">. WHO, 2023. [Online]. Available: https://www.who.int/publications/i/item/9789240081062</w:t>
      </w:r>
    </w:p>
    <w:p>
      <w:pPr>
        <w:pStyle w:val="a0"/>
      </w:pPr>
      <w:r>
        <w:t xml:space="preserve">[3] T. Ohira and H. Iso,</w:t>
      </w:r>
      <w:r>
        <w:t xml:space="preserve"> </w:t>
      </w:r>
      <w:r>
        <w:t xml:space="preserve">“Cardiovascular disease epidemiology in Asia: An overview,”</w:t>
      </w:r>
      <w:r>
        <w:t xml:space="preserve"> </w:t>
      </w:r>
      <w:r>
        <w:rPr>
          <w:i/>
          <w:iCs/>
        </w:rPr>
        <w:t xml:space="preserve">Circulation Journal</w:t>
      </w:r>
      <w:r>
        <w:t xml:space="preserve">, vol. 77, no. 7, pp. 1646–1652, 2013. doi: 10.1253/circj.CJ-13-0702.</w:t>
      </w:r>
    </w:p>
    <w:p>
      <w:pPr>
        <w:pStyle w:val="a0"/>
      </w:pPr>
      <w:r>
        <w:t xml:space="preserve">[4] Z. Sun and Y. Zheng,</w:t>
      </w:r>
      <w:r>
        <w:t xml:space="preserve"> </w:t>
      </w:r>
      <w:r>
        <w:t xml:space="preserve">“Metabolic diseases in the East Asian populations,”</w:t>
      </w:r>
      <w:r>
        <w:t xml:space="preserve"> </w:t>
      </w:r>
      <w:r>
        <w:rPr>
          <w:i/>
          <w:iCs/>
        </w:rPr>
        <w:t xml:space="preserve">Nature Reviews Gastroenterology &amp; Hepatology</w:t>
      </w:r>
      <w:r>
        <w:t xml:space="preserve">, vol. 22, no. 7, pp. 500–516, 2025. doi: 10.1038/s41575-025-01058-8.</w:t>
      </w:r>
    </w:p>
    <w:p>
      <w:pPr>
        <w:pStyle w:val="a0"/>
      </w:pPr>
      <w:r>
        <w:t xml:space="preserve">[5] </w:t>
      </w:r>
      <w:r>
        <w:rPr>
          <w:rFonts w:hint="eastAsia"/>
        </w:rPr>
        <w:t xml:space="preserve">國民健康署，</w:t>
      </w:r>
      <w:r>
        <w:rPr>
          <w:i/>
          <w:iCs/>
        </w:rPr>
        <w:t xml:space="preserve">2017–2020 </w:t>
      </w:r>
      <w:r>
        <w:rPr>
          <w:rFonts w:hint="eastAsia"/>
          <w:i/>
          <w:iCs/>
        </w:rPr>
        <w:t xml:space="preserve">國民營養健康狀況變遷調查</w:t>
      </w:r>
      <w:r>
        <w:rPr>
          <w:rFonts w:hint="eastAsia"/>
        </w:rPr>
        <w:t xml:space="preserve">，衛生福利部，2022。網址：https://www.hpa.gov.tw/Pages/Detail.aspx?nodeid=3999&amp;pid=15562</w:t>
      </w:r>
    </w:p>
    <w:p>
      <w:pPr>
        <w:pStyle w:val="a0"/>
      </w:pPr>
      <w:r>
        <w:t xml:space="preserve">[6] S. Stanciu, E. Rusu, D. Miricescu, A. C. Radu, B. Axinia, A. M. Vrabie, R. Ionescu, M. Jinga, and C. A. Sirbu,</w:t>
      </w:r>
      <w:r>
        <w:t xml:space="preserve"> </w:t>
      </w:r>
      <w:r>
        <w:t xml:space="preserve">“Links between metabolic syndrome and hypertension: The relationship with the current antidiabetic drugs,”</w:t>
      </w:r>
      <w:r>
        <w:t xml:space="preserve"> </w:t>
      </w:r>
      <w:r>
        <w:rPr>
          <w:i/>
          <w:iCs/>
        </w:rPr>
        <w:t xml:space="preserve">Metabolites</w:t>
      </w:r>
      <w:r>
        <w:t xml:space="preserve">, vol. 13, no. 1, p. 87, 2023. doi: 10.3390/metabo13010087.</w:t>
      </w:r>
    </w:p>
    <w:p>
      <w:pPr>
        <w:pStyle w:val="a0"/>
      </w:pPr>
      <w:r>
        <w:t xml:space="preserve">[7] K. G. M. M. Alberti, R. H. Eckel, S. M. Grundy, P. Z. Zimmet, J. I. Cleeman, K. A. Donato, J.-C. Fruchart, W. P. T. James, C. M. Loria, and S. C. Smith Jr.,</w:t>
      </w:r>
      <w:r>
        <w:t xml:space="preserve"> </w:t>
      </w:r>
      <w:r>
        <w:t xml:space="preserve">“Harmonizing the metabolic syndrome: A joint interim statement of the International Diabetes Federation Task Force on Epidemiology and Prevention; National Heart, Lung, and Blood Institute; American Heart Association; World Heart Federation; International Atherosclerosis Society; and International Association for the Study of Obesity,”</w:t>
      </w:r>
      <w:r>
        <w:t xml:space="preserve"> </w:t>
      </w:r>
      <w:r>
        <w:rPr>
          <w:i/>
          <w:iCs/>
        </w:rPr>
        <w:t xml:space="preserve">Circulation</w:t>
      </w:r>
      <w:r>
        <w:t xml:space="preserve">, vol. 120, no. 16, pp. 1640–1645, 2009. doi: 10.1161/CIRCULATIONAHA.109.192644.</w:t>
      </w:r>
    </w:p>
    <w:p>
      <w:pPr>
        <w:pStyle w:val="a0"/>
      </w:pPr>
      <w:r>
        <w:t xml:space="preserve">[8] </w:t>
      </w:r>
      <w:r>
        <w:rPr>
          <w:rFonts w:hint="eastAsia"/>
        </w:rPr>
        <w:t xml:space="preserve">國民健康署，</w:t>
      </w:r>
      <w:r>
        <w:rPr>
          <w:rFonts w:hint="eastAsia"/>
          <w:i/>
          <w:iCs/>
        </w:rPr>
        <w:t xml:space="preserve">成人預防保健服務擴大至</w:t>
      </w:r>
      <w:r>
        <w:rPr>
          <w:i/>
          <w:iCs/>
        </w:rPr>
        <w:t xml:space="preserve"> 30 </w:t>
      </w:r>
      <w:r>
        <w:rPr>
          <w:rFonts w:hint="eastAsia"/>
          <w:i/>
          <w:iCs/>
        </w:rPr>
        <w:t xml:space="preserve">歲公告</w:t>
      </w:r>
      <w:r>
        <w:rPr>
          <w:rFonts w:hint="eastAsia"/>
        </w:rPr>
        <w:t xml:space="preserve">，衛生福利部，2025。網址：https://www.hpa.gov.tw/Pages/detail.aspx?nodeid=4878&amp;pid=18755</w:t>
      </w:r>
    </w:p>
    <w:p>
      <w:pPr>
        <w:pStyle w:val="a0"/>
      </w:pPr>
      <w:r>
        <w:t xml:space="preserve">[9] H. Kanegae, K. Suzuki, K. Fukatani, T. Ito, N. Harada, and K. Kario,</w:t>
      </w:r>
      <w:r>
        <w:t xml:space="preserve"> </w:t>
      </w:r>
      <w:r>
        <w:t xml:space="preserve">“Highly precise risk prediction model for new-onset hypertension using artificial intelligence techniques,”</w:t>
      </w:r>
      <w:r>
        <w:t xml:space="preserve"> </w:t>
      </w:r>
      <w:r>
        <w:rPr>
          <w:i/>
          <w:iCs/>
        </w:rPr>
        <w:t xml:space="preserve">The Journal of Clinical Hypertension</w:t>
      </w:r>
      <w:r>
        <w:t xml:space="preserve">, vol. 22, no. 3, pp. 445–450, 2020. doi: 10.1111/jch.13759.</w:t>
      </w:r>
    </w:p>
    <w:p>
      <w:pPr>
        <w:pStyle w:val="a0"/>
      </w:pPr>
      <w:r>
        <w:t xml:space="preserve">[10] C.-C. Yang, S.-T. Wu, T.-W. Chu, C.-H. Liu, and Y.-J. Chuang,</w:t>
      </w:r>
      <w:r>
        <w:t xml:space="preserve"> </w:t>
      </w:r>
      <w:r>
        <w:t xml:space="preserve">“Dual machine learning framework for predicting long-term glycemic change and prediabetes risk in young Taiwanese men,”</w:t>
      </w:r>
      <w:r>
        <w:t xml:space="preserve"> </w:t>
      </w:r>
      <w:r>
        <w:rPr>
          <w:i/>
          <w:iCs/>
        </w:rPr>
        <w:t xml:space="preserve">Diagnostics</w:t>
      </w:r>
      <w:r>
        <w:t xml:space="preserve">, vol. 15, no. 19, p. 2507, 2025. doi: 10.3390/diagnostics15192507.</w:t>
      </w:r>
    </w:p>
    <w:p>
      <w:pPr>
        <w:pStyle w:val="a0"/>
      </w:pPr>
      <w:r>
        <w:t xml:space="preserve">[11] C. Ye, T. Fu, S. Hao, Y. Zhang, O. Wang, B. Jin, M. Xia, M. Liu, X. Zhou, Q. Wu, Y. Guo, C. Zhu, Y. Li, D. S. Culver, S. T. Alfreds, F. Stearns, K. G. Sylvester, E. Widen, D. McElhinney, and X. Ling,</w:t>
      </w:r>
      <w:r>
        <w:t xml:space="preserve"> </w:t>
      </w:r>
      <w:r>
        <w:t xml:space="preserve">“Prediction of incident hypertension within the next year: Prospective study using statewide electronic health records and machine learning,”</w:t>
      </w:r>
      <w:r>
        <w:t xml:space="preserve"> </w:t>
      </w:r>
      <w:r>
        <w:rPr>
          <w:i/>
          <w:iCs/>
        </w:rPr>
        <w:t xml:space="preserve">Journal of Medical Internet Research</w:t>
      </w:r>
      <w:r>
        <w:t xml:space="preserve">, vol. 20, no. 1, p. e22, 2018. doi: 10.2196/jmir.9268.</w:t>
      </w:r>
    </w:p>
    <w:p>
      <w:pPr>
        <w:pStyle w:val="a0"/>
      </w:pPr>
      <w:r>
        <w:t xml:space="preserve">[12] A. M. Alaa, T. Bolton, E. Di Angelantonio, J. H. F. Rudd, and M. van der Schaar,</w:t>
      </w:r>
      <w:r>
        <w:t xml:space="preserve"> </w:t>
      </w:r>
      <w:r>
        <w:t xml:space="preserve">“Cardiovascular disease risk prediction using automated machine learning: A prospective study of 423,604 UK Biobank participants,”</w:t>
      </w:r>
      <w:r>
        <w:t xml:space="preserve"> </w:t>
      </w:r>
      <w:r>
        <w:rPr>
          <w:i/>
          <w:iCs/>
        </w:rPr>
        <w:t xml:space="preserve">PLoS ONE</w:t>
      </w:r>
      <w:r>
        <w:t xml:space="preserve">, vol. 14, no. 5, p. e0213653, 2019. doi: 10.1371/journal.pone.0213653.</w:t>
      </w:r>
    </w:p>
    <w:p>
      <w:pPr>
        <w:pStyle w:val="a0"/>
      </w:pPr>
      <w:r>
        <w:t xml:space="preserve">[13] A. Dinh, S. Miertschin, A. Young, and S. D. Mohanty,</w:t>
      </w:r>
      <w:r>
        <w:t xml:space="preserve"> </w:t>
      </w:r>
      <w:r>
        <w:t xml:space="preserve">“A data-driven approach to predicting diabetes and cardiovascular disease with machine learning,”</w:t>
      </w:r>
      <w:r>
        <w:t xml:space="preserve"> </w:t>
      </w:r>
      <w:r>
        <w:rPr>
          <w:i/>
          <w:iCs/>
        </w:rPr>
        <w:t xml:space="preserve">BMC Medical Informatics and Decision Making</w:t>
      </w:r>
      <w:r>
        <w:t xml:space="preserve">, vol. 19, no. 1, p. 211, 2019. doi: 10.1186/s12911-019-0918-5.</w:t>
      </w:r>
    </w:p>
    <w:p>
      <w:pPr>
        <w:pStyle w:val="a0"/>
      </w:pPr>
      <w:r>
        <w:t xml:space="preserve">[14] M.-H. Hung, L.-C. Shih, Y.-C. Wang, H.-B. Leu, P.-H. Huang, T.-C. Wu, S.-J. Lin, W.-H. Pan, J.-W. Chen, and C.-C. Huang,</w:t>
      </w:r>
      <w:r>
        <w:t xml:space="preserve"> </w:t>
      </w:r>
      <w:r>
        <w:t xml:space="preserve">“Prediction of masked hypertension and masked uncontrolled hypertension using machine learning,”</w:t>
      </w:r>
      <w:r>
        <w:t xml:space="preserve"> </w:t>
      </w:r>
      <w:r>
        <w:rPr>
          <w:i/>
          <w:iCs/>
        </w:rPr>
        <w:t xml:space="preserve">Frontiers in Cardiovascular Medicine</w:t>
      </w:r>
      <w:r>
        <w:t xml:space="preserve">, vol. 8, p. 778306, 2021. doi: 10.3389/fcvm.2021.778306.</w:t>
      </w:r>
    </w:p>
    <w:p>
      <w:pPr>
        <w:pStyle w:val="a0"/>
      </w:pPr>
      <w:r>
        <w:t xml:space="preserve">[15] Y.-Q. Liu, T.-W. Chang, L.-C. Lee, C.-Y. Chen, P.-S. Hsu, Y.-T. Tsan, C.-T. Yang, and W.-M. Chu,</w:t>
      </w:r>
      <w:r>
        <w:t xml:space="preserve"> </w:t>
      </w:r>
      <w:r>
        <w:t xml:space="preserve">“Use of machine learning to predict the incidence of type 2 diabetes among relatively healthy adults: A 10-year longitudinal study in Taiwan,”</w:t>
      </w:r>
      <w:r>
        <w:t xml:space="preserve"> </w:t>
      </w:r>
      <w:r>
        <w:rPr>
          <w:i/>
          <w:iCs/>
        </w:rPr>
        <w:t xml:space="preserve">Diagnostics</w:t>
      </w:r>
      <w:r>
        <w:t xml:space="preserve">, vol. 15, no. 1, p. 72, 2024. doi: 10.3390/diagnostics15010072.</w:t>
      </w:r>
    </w:p>
    <w:p>
      <w:pPr>
        <w:pStyle w:val="a0"/>
      </w:pPr>
      <w:r>
        <w:t xml:space="preserve">[16] C.-C. Wang, T.-W. Chu, and J.-S. R. Jang,</w:t>
      </w:r>
      <w:r>
        <w:t xml:space="preserve"> </w:t>
      </w:r>
      <w:r>
        <w:t xml:space="preserve">“Next-visit prediction and prevention of hypertension using large-scale routine health checkup data,”</w:t>
      </w:r>
      <w:r>
        <w:t xml:space="preserve"> </w:t>
      </w:r>
      <w:r>
        <w:rPr>
          <w:i/>
          <w:iCs/>
        </w:rPr>
        <w:t xml:space="preserve">PLoS ONE</w:t>
      </w:r>
      <w:r>
        <w:t xml:space="preserve">, vol. 19, no. 11, p. e0313658, 2024. doi: 10.1371/journal.pone.0313658.</w:t>
      </w:r>
    </w:p>
    <w:p>
      <w:pPr>
        <w:pStyle w:val="a0"/>
      </w:pPr>
      <w:r>
        <w:t xml:space="preserve">[17] D. Majcherek, A. Ciesielski, and P. Sobczak,</w:t>
      </w:r>
      <w:r>
        <w:t xml:space="preserve"> </w:t>
      </w:r>
      <w:r>
        <w:t xml:space="preserve">“AI-driven analysis of diabetes risk determinants in U.S. adults: Exploring disease prevalence and health factors,”</w:t>
      </w:r>
      <w:r>
        <w:t xml:space="preserve"> </w:t>
      </w:r>
      <w:r>
        <w:rPr>
          <w:i/>
          <w:iCs/>
        </w:rPr>
        <w:t xml:space="preserve">PLoS ONE</w:t>
      </w:r>
      <w:r>
        <w:t xml:space="preserve">, vol. 20, no. 9, p. e0328655, 2025. doi: 10.1371/journal.pone.0328655.</w:t>
      </w:r>
    </w:p>
    <w:p>
      <w:pPr>
        <w:pStyle w:val="a0"/>
      </w:pPr>
      <w:r>
        <w:t xml:space="preserve">[18] D. Sun, J. Liu, L. Xiao, Y. Liu, Z. Wang, C. Li, Y. Jin, Q. Zhao, and S. Wen,</w:t>
      </w:r>
      <w:r>
        <w:t xml:space="preserve"> </w:t>
      </w:r>
      <w:r>
        <w:t xml:space="preserve">“Recent development of risk-prediction models for incident hypertension: An updated systematic review,”</w:t>
      </w:r>
      <w:r>
        <w:t xml:space="preserve"> </w:t>
      </w:r>
      <w:r>
        <w:rPr>
          <w:i/>
          <w:iCs/>
        </w:rPr>
        <w:t xml:space="preserve">PLoS ONE</w:t>
      </w:r>
      <w:r>
        <w:t xml:space="preserve">, vol. 12, no. 10, p. e0187240, 2017. doi: 10.1371/journal.pone.0187240.</w:t>
      </w:r>
    </w:p>
    <w:p>
      <w:pPr>
        <w:pStyle w:val="a0"/>
      </w:pPr>
      <w:r>
        <w:t xml:space="preserve">[19] H. He and E. A. Garcia,</w:t>
      </w:r>
      <w:r>
        <w:t xml:space="preserve"> </w:t>
      </w:r>
      <w:r>
        <w:t xml:space="preserve">“Learning from imbalanced data,”</w:t>
      </w:r>
      <w:r>
        <w:t xml:space="preserve"> </w:t>
      </w:r>
      <w:r>
        <w:rPr>
          <w:i/>
          <w:iCs/>
        </w:rPr>
        <w:t xml:space="preserve">IEEE Transactions on Knowledge and Data Engineering</w:t>
      </w:r>
      <w:r>
        <w:t xml:space="preserve">, vol. 21, no. 9, pp. 1263–1284, 2009. doi: 10.1109/TKDE.2008.239.</w:t>
      </w:r>
    </w:p>
    <w:p>
      <w:pPr>
        <w:pStyle w:val="a0"/>
      </w:pPr>
      <w:r>
        <w:t xml:space="preserve">[20] N. V. Chawla, K. W. Bowyer, L. O. Hall, and W. P. Kegelmeyer,</w:t>
      </w:r>
      <w:r>
        <w:t xml:space="preserve"> </w:t>
      </w:r>
      <w:r>
        <w:t xml:space="preserve">“SMOTE: Synthetic minority over-sampling technique,”</w:t>
      </w:r>
      <w:r>
        <w:t xml:space="preserve"> </w:t>
      </w:r>
      <w:r>
        <w:rPr>
          <w:i/>
          <w:iCs/>
        </w:rPr>
        <w:t xml:space="preserve">Journal of Artificial Intelligence Research</w:t>
      </w:r>
      <w:r>
        <w:t xml:space="preserve">, vol. 16, pp. 321–357, 2002. doi: 10.1613/jair.953.</w:t>
      </w:r>
    </w:p>
    <w:p>
      <w:pPr>
        <w:pStyle w:val="a0"/>
      </w:pPr>
      <w:r>
        <w:t xml:space="preserve">[21] H. Tsai, T.-W. Yang, T.-Y. Wu, Y.-C. Tu, C.-L. Chen, and C.-F. Chou,</w:t>
      </w:r>
      <w:r>
        <w:t xml:space="preserve"> </w:t>
      </w:r>
      <w:r>
        <w:t xml:space="preserve">“Multitask learning multimodal network for chronic disease prediction,”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, vol. 15, no. 1, p. 15468, 2025. doi: 10.1038/s41598-025-99554-z.</w:t>
      </w:r>
    </w:p>
    <w:p>
      <w:pPr>
        <w:pStyle w:val="a0"/>
      </w:pPr>
      <w:r>
        <w:t xml:space="preserve">[22] Y. Luo, Q. Wu, R. Meng, F. Lian, C. Jiang, M. Hu, Y. Wang, and H. Ma,</w:t>
      </w:r>
      <w:r>
        <w:t xml:space="preserve"> </w:t>
      </w:r>
      <w:r>
        <w:t xml:space="preserve">“Associations of serum uric acid with cardiovascular disease risk factors: A retrospective cohort study in southeastern China,”</w:t>
      </w:r>
      <w:r>
        <w:t xml:space="preserve"> </w:t>
      </w:r>
      <w:r>
        <w:rPr>
          <w:i/>
          <w:iCs/>
        </w:rPr>
        <w:t xml:space="preserve">BMJ Open</w:t>
      </w:r>
      <w:r>
        <w:t xml:space="preserve">, vol. 13, no. 9, p. e073930, 2023. doi: 10.1136/bmjopen-2023-073930.</w:t>
      </w:r>
    </w:p>
    <w:p>
      <w:pPr>
        <w:pStyle w:val="a0"/>
      </w:pPr>
      <w:r>
        <w:t xml:space="preserve">[23] Y. Luo, Q. Wu, R. Meng, F. Lian, C. Jiang, M. Hu, Y. Wang, and H. Ma,</w:t>
      </w:r>
      <w:r>
        <w:t xml:space="preserve"> </w:t>
      </w:r>
      <w:r>
        <w:t xml:space="preserve">“Associations of serum uric acid with cardiovascular disease risk factors [Dataset],”</w:t>
      </w:r>
      <w:r>
        <w:t xml:space="preserve"> </w:t>
      </w:r>
      <w:r>
        <w:rPr>
          <w:i/>
          <w:iCs/>
        </w:rPr>
        <w:t xml:space="preserve">Dryad Digital Repository</w:t>
      </w:r>
      <w:r>
        <w:t xml:space="preserve">, 2023. doi: 10.5061/dryad.z08kprrk1.</w:t>
      </w:r>
    </w:p>
    <w:p>
      <w:pPr>
        <w:pStyle w:val="a0"/>
      </w:pPr>
      <w:r>
        <w:t xml:space="preserve">[24] P. A. James, S. Oparil, B. L. Carter, W. C. Cushman, C. Dennison-Himmelfarb, J. Handler, D. T. Lackland, M. L. LeFevre, T. D. MacKenzie, O. Ogedegbe, S. C. Smith Jr., L. P. Svetkey, S. J. Taler, R. R. Townsend, J. T. Wright Jr., A. S. Narva, and E. Ortiz,</w:t>
      </w:r>
      <w:r>
        <w:t xml:space="preserve"> </w:t>
      </w:r>
      <w:r>
        <w:t xml:space="preserve">“2014 evidence-based guideline for the management of high blood pressure in adults: Report from the panel members appointed to the Eighth Joint National Committee (JNC 8),”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 311, no. 5, pp. 507–520, 2014. doi: 10.1001/jama.2013.284427.</w:t>
      </w:r>
    </w:p>
    <w:p>
      <w:pPr>
        <w:pStyle w:val="a0"/>
      </w:pPr>
      <w:r>
        <w:t xml:space="preserve">[25] American Diabetes Association,</w:t>
      </w:r>
      <w:r>
        <w:t xml:space="preserve"> </w:t>
      </w:r>
      <w:r>
        <w:t xml:space="preserve">“Standards of care in diabetes—2025,”</w:t>
      </w:r>
      <w:r>
        <w:t xml:space="preserve"> </w:t>
      </w:r>
      <w:r>
        <w:rPr>
          <w:i/>
          <w:iCs/>
        </w:rPr>
        <w:t xml:space="preserve">Diabetes Care</w:t>
      </w:r>
      <w:r>
        <w:t xml:space="preserve">, vol. 48, Suppl. 1, 2025.</w:t>
      </w:r>
    </w:p>
    <w:p>
      <w:pPr>
        <w:pStyle w:val="a0"/>
      </w:pPr>
      <w:r>
        <w:t xml:space="preserve">[26] National Cholesterol Education Program (NCEP) Expert Panel on Detection, Evaluation, and Treatment of High Blood Cholesterol in Adults (Adult Treatment Panel III),</w:t>
      </w:r>
      <w:r>
        <w:t xml:space="preserve"> </w:t>
      </w:r>
      <w:r>
        <w:t xml:space="preserve">“Third report of the National Cholesterol Education Program (NCEP) expert panel on detection, evaluation, and treatment of high blood cholesterol in adults (Adult Treatment Panel III) final report,”</w:t>
      </w:r>
      <w:r>
        <w:t xml:space="preserve"> </w:t>
      </w:r>
      <w:r>
        <w:rPr>
          <w:i/>
          <w:iCs/>
        </w:rPr>
        <w:t xml:space="preserve">Circulation</w:t>
      </w:r>
      <w:r>
        <w:t xml:space="preserve">, vol. 106, no. 25, pp. 3143–3421, 2002. doi: 10.1161/01.CIR.0000038419.01177.FA.</w:t>
      </w:r>
    </w:p>
    <w:p>
      <w:pPr>
        <w:pStyle w:val="a0"/>
      </w:pPr>
      <w:r>
        <w:t xml:space="preserve">[27] T. Saito and M. Rehmsmeier,</w:t>
      </w:r>
      <w:r>
        <w:t xml:space="preserve"> </w:t>
      </w:r>
      <w:r>
        <w:t xml:space="preserve">“The precision-recall plot is more informative than the ROC plot when evaluating binary classifiers on imbalanced datasets,”</w:t>
      </w:r>
      <w:r>
        <w:t xml:space="preserve"> </w:t>
      </w:r>
      <w:r>
        <w:rPr>
          <w:i/>
          <w:iCs/>
        </w:rPr>
        <w:t xml:space="preserve">PLoS ONE</w:t>
      </w:r>
      <w:r>
        <w:t xml:space="preserve">, vol. 10, no. 3, p. e0118432, 2015. doi: 10.1371/journal.pone.0118432.</w:t>
      </w:r>
    </w:p>
    <w:p>
      <w:pPr>
        <w:pStyle w:val="a0"/>
      </w:pPr>
      <w:r>
        <w:t xml:space="preserve">[28] R. A. Fisher,</w:t>
      </w:r>
      <w:r>
        <w:t xml:space="preserve"> </w:t>
      </w:r>
      <w:r>
        <w:t xml:space="preserve">“The use of multiple measurements in taxonomic problems,”</w:t>
      </w:r>
      <w:r>
        <w:t xml:space="preserve"> </w:t>
      </w:r>
      <w:r>
        <w:rPr>
          <w:i/>
          <w:iCs/>
        </w:rPr>
        <w:t xml:space="preserve">Annals of Eugenics</w:t>
      </w:r>
      <w:r>
        <w:t xml:space="preserve">, vol. 7, no. 2, pp. 179–188, 1936. doi: 10.1111/j.1469-1809.1936.tb02137.x.</w:t>
      </w:r>
    </w:p>
    <w:p>
      <w:pPr>
        <w:pStyle w:val="a0"/>
      </w:pPr>
      <w:r>
        <w:t xml:space="preserve">[29] L. Breiman,</w:t>
      </w:r>
      <w:r>
        <w:t xml:space="preserve"> </w:t>
      </w:r>
      <w:r>
        <w:t xml:space="preserve">“Random forests,”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vol. 45, no. 1, pp. 5–32, 2001. doi: 10.1023/A:1010933404324.</w:t>
      </w:r>
    </w:p>
    <w:p>
      <w:pPr>
        <w:pStyle w:val="a0"/>
      </w:pPr>
      <w:r>
        <w:t xml:space="preserve">[30] T. Chen and C. Guestrin,</w:t>
      </w:r>
      <w:r>
        <w:t xml:space="preserve"> </w:t>
      </w:r>
      <w:r>
        <w:t xml:space="preserve">“XGBoost: A scalable tree boosting system,”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22nd ACM SIGKDD Int. Conf. Knowledge Discovery and Data Mining</w:t>
      </w:r>
      <w:r>
        <w:t xml:space="preserve">, 2016, pp. 785–794. doi: 10.1145/2939672.2939785.</w:t>
      </w:r>
    </w:p>
    <w:p>
      <w:pPr>
        <w:pStyle w:val="a0"/>
      </w:pPr>
      <w:r>
        <w:t xml:space="preserve">[31] G. Ke, Q. Meng, T. Finley, T. Wang, W. Chen, W. Ma, Q. Ye, and T.-Y. Liu,</w:t>
      </w:r>
      <w:r>
        <w:t xml:space="preserve"> </w:t>
      </w:r>
      <w:r>
        <w:t xml:space="preserve">“LightGBM: A highly efficient gradient boosting decision tree,”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 30</w:t>
      </w:r>
      <w:r>
        <w:t xml:space="preserve">, 2017, pp. 3146–3154.</w:t>
      </w:r>
    </w:p>
    <w:p>
      <w:pPr>
        <w:pStyle w:val="a0"/>
      </w:pPr>
      <w:r>
        <w:t xml:space="preserve">[32] C. Cortes and V. Vapnik,</w:t>
      </w:r>
      <w:r>
        <w:t xml:space="preserve"> </w:t>
      </w:r>
      <w:r>
        <w:t xml:space="preserve">“Support-vector networks,”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vol. 20, no. 3, pp. 273–297, 1995. doi: 10.1007/BF00994018.</w:t>
      </w:r>
    </w:p>
    <w:p>
      <w:pPr>
        <w:pStyle w:val="a0"/>
      </w:pPr>
      <w:r>
        <w:t xml:space="preserve">[33] D. E. Rumelhart, G. E. Hinton, and R. J. Williams,</w:t>
      </w:r>
      <w:r>
        <w:t xml:space="preserve"> </w:t>
      </w:r>
      <w:r>
        <w:t xml:space="preserve">“Learning representations by back-propagating errors,”</w:t>
      </w:r>
      <w:r>
        <w:t xml:space="preserve"> </w:t>
      </w:r>
      <w:r>
        <w:rPr>
          <w:i/>
          <w:iCs/>
        </w:rPr>
        <w:t xml:space="preserve">Nature</w:t>
      </w:r>
      <w:r>
        <w:t xml:space="preserve">, vol. 323, no. 6088, pp. 533–536, 1986. doi: 10.1038/323533a0.</w:t>
      </w:r>
    </w:p>
    <w:p>
      <w:pPr>
        <w:pStyle w:val="a0"/>
      </w:pPr>
      <w:r>
        <w:t xml:space="preserve">[34] M. Cranmer,</w:t>
      </w:r>
      <w:r>
        <w:t xml:space="preserve"> </w:t>
      </w:r>
      <w:r>
        <w:t xml:space="preserve">“Interpretable machine learning for science with PySR and SymbolicRegression.jl,”</w:t>
      </w:r>
      <w:r>
        <w:t xml:space="preserve"> </w:t>
      </w:r>
      <w:r>
        <w:rPr>
          <w:i/>
          <w:iCs/>
        </w:rPr>
        <w:t xml:space="preserve">arXiv</w:t>
      </w:r>
      <w:r>
        <w:t xml:space="preserve">, 2023. doi: 10.48550/arXiv.2305.01582.</w:t>
      </w:r>
    </w:p>
    <w:p>
      <w:pPr>
        <w:pStyle w:val="a0"/>
      </w:pPr>
      <w:r>
        <w:t xml:space="preserve">[35] U.S. Department of Agriculture and U.S. Department of Health and Human Services,</w:t>
      </w:r>
      <w:r>
        <w:t xml:space="preserve"> </w:t>
      </w:r>
      <w:r>
        <w:rPr>
          <w:i/>
          <w:iCs/>
        </w:rPr>
        <w:t xml:space="preserve">Dietary Guidelines for Americans, 2025–2030</w:t>
      </w:r>
      <w:r>
        <w:t xml:space="preserve">, 10th ed., 2025. [Online]. Available: https://www.dietaryguidelines.gov/</w:t>
      </w:r>
    </w:p>
    <w:p>
      <w:pPr>
        <w:pStyle w:val="a0"/>
      </w:pPr>
      <w:r>
        <w:t xml:space="preserve">[36] J. Walonoski, M. Kramer, J. Nichols, A. Quina, C. Moesel, D. Hall, C. Duffett, K. Dube, T. Gallagher, and S. McLachlan,</w:t>
      </w:r>
      <w:r>
        <w:t xml:space="preserve"> </w:t>
      </w:r>
      <w:r>
        <w:t xml:space="preserve">“Synthea: An approach, method, and software mechanism for generating synthetic patients and the synthetic electronic health care record,”</w:t>
      </w:r>
      <w:r>
        <w:t xml:space="preserve"> </w:t>
      </w:r>
      <w:r>
        <w:rPr>
          <w:i/>
          <w:iCs/>
        </w:rPr>
        <w:t xml:space="preserve">Journal of the American Medical Informatics Association</w:t>
      </w:r>
      <w:r>
        <w:t xml:space="preserve">, vol. 25, no. 3, pp. 230–238, 2018. doi: 10.1093/jamia/ocx079.</w:t>
      </w:r>
    </w:p>
    <w:p>
      <w:pPr>
        <w:pStyle w:val="a0"/>
      </w:pPr>
      <w:r>
        <w:rPr>
          <w:rFonts w:hint="eastAsia"/>
          <w:i/>
          <w:iCs/>
        </w:rPr>
        <w:t xml:space="preserve">備註：本文獻清單共</w:t>
      </w:r>
      <w:r>
        <w:rPr>
          <w:i/>
          <w:iCs/>
        </w:rPr>
        <w:t xml:space="preserve"> 36 </w:t>
      </w:r>
      <w:r>
        <w:rPr>
          <w:rFonts w:hint="eastAsia"/>
          <w:i/>
          <w:iCs/>
        </w:rPr>
        <w:t xml:space="preserve">筆（英文</w:t>
      </w:r>
      <w:r>
        <w:rPr>
          <w:i/>
          <w:iCs/>
        </w:rPr>
        <w:t xml:space="preserve"> 34 </w:t>
      </w:r>
      <w:r>
        <w:rPr>
          <w:rFonts w:hint="eastAsia"/>
          <w:i/>
          <w:iCs/>
        </w:rPr>
        <w:t xml:space="preserve">筆、中文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筆），依</w:t>
      </w:r>
      <w:r>
        <w:rPr>
          <w:i/>
          <w:iCs/>
        </w:rPr>
        <w:t xml:space="preserve"> IEEE </w:t>
      </w:r>
      <w:r>
        <w:rPr>
          <w:rFonts w:hint="eastAsia"/>
          <w:i/>
          <w:iCs/>
        </w:rPr>
        <w:t xml:space="preserve">格式按首次引用順序編號。</w:t>
      </w:r>
    </w:p>
    <w:bookmarkEnd w:id="18"/>
    <w:sectPr w:rsidR="006D3225" w:rsidRPr="00BE2F6E" w:rsidSect="000C688A">
      <w:footnotePr>
        <w:numRestart w:val="eachSect"/>
      </w:footnotePr>
      <w:pgSz w:h="15840" w:w="12240"/>
      <w:pgMar w:bottom="1418" w:footer="720" w:gutter="0" w:header="720" w:left="1701" w:right="1418" w:top="1985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1"/>
    <w:multiLevelType w:val="multilevel"/>
    <w:tmpl w:val="55A042E0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">
    <w:nsid w:val="00A99411"/>
    <w:multiLevelType w:val="multilevel"/>
    <w:tmpl w:val="0936ADC0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</w:num>
  <w:num w:numId="18">
    <w:abstractNumId w:val="0"/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</w:num>
  <w:num w:numId="2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6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253F"/>
    <w:rsid w:val="000C688A"/>
    <w:rsid w:val="002D44E1"/>
    <w:rsid w:val="0069253F"/>
    <w:rsid w:val="006D3225"/>
    <w:rsid w:val="008D1BC4"/>
    <w:rsid w:val="00A2729A"/>
    <w:rsid w:val="00A75A56"/>
    <w:rsid w:val="00B8724B"/>
    <w:rsid w:val="00BE2F6E"/>
    <w:rsid w:val="00C2227C"/>
    <w:rsid w:val="00C73B26"/>
    <w:rsid w:val="00D70EEA"/>
    <w:rsid w:val="00E16716"/>
    <w:rsid w:val="00F90F98"/>
  </w:rsids>
  <w:themeFontLang w:eastAsia="zh-TW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link w:val="10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標題 字元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標題 字元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標題 1 字元"/>
    <w:basedOn w:val="a1"/>
    <w:link w:val="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20" w:type="character">
    <w:name w:val="標題 2 字元"/>
    <w:basedOn w:val="a1"/>
    <w:link w:val="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30" w:type="character">
    <w:name w:val="標題 3 字元"/>
    <w:basedOn w:val="a1"/>
    <w:link w:val="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40" w:type="character">
    <w:name w:val="標題 4 字元"/>
    <w:basedOn w:val="a1"/>
    <w:link w:val="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50" w:type="character">
    <w:name w:val="標題 5 字元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0" w:type="character">
    <w:name w:val="標題 6 字元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標題 7 字元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標題 8 字元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標題 9 字元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標號 字元"/>
    <w:basedOn w:val="a1"/>
    <w:link w:val="ac"/>
  </w:style>
  <w:style w:customStyle="1" w:styleId="VerbatimChar" w:type="character">
    <w:name w:val="Verbatim Char"/>
    <w:basedOn w:val="ad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af0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af1" w:type="paragraph">
    <w:name w:val="Balloon Text"/>
    <w:basedOn w:val="a"/>
    <w:link w:val="af2"/>
    <w:rsid w:val="00A2729A"/>
    <w:pPr>
      <w:spacing w:after="0"/>
    </w:pPr>
    <w:rPr>
      <w:rFonts w:asciiTheme="majorHAnsi" w:cstheme="majorBidi" w:eastAsiaTheme="majorEastAsia" w:hAnsiTheme="majorHAnsi"/>
      <w:sz w:val="18"/>
      <w:szCs w:val="18"/>
    </w:rPr>
  </w:style>
  <w:style w:customStyle="1" w:styleId="af2" w:type="character">
    <w:name w:val="註解方塊文字 字元"/>
    <w:basedOn w:val="a1"/>
    <w:link w:val="af1"/>
    <w:rsid w:val="00A2729A"/>
    <w:rPr>
      <w:rFonts w:asciiTheme="majorHAnsi" w:cstheme="majorBidi" w:eastAsiaTheme="majorEastAsia" w:hAnsiTheme="majorHAnsi"/>
      <w:sz w:val="18"/>
      <w:szCs w:val="18"/>
    </w:rPr>
  </w:style>
  <w:style w:styleId="af3" w:type="paragraph">
    <w:name w:val="header"/>
    <w:basedOn w:val="a"/>
    <w:link w:val="af4"/>
    <w:unhideWhenUsed/>
    <w:rsid w:val="00BE2F6E"/>
    <w:pPr>
      <w:tabs>
        <w:tab w:pos="4153" w:val="center"/>
        <w:tab w:pos="8306" w:val="right"/>
      </w:tabs>
      <w:snapToGrid w:val="0"/>
    </w:pPr>
    <w:rPr>
      <w:sz w:val="20"/>
      <w:szCs w:val="20"/>
    </w:rPr>
  </w:style>
  <w:style w:customStyle="1" w:styleId="af4" w:type="character">
    <w:name w:val="頁首 字元"/>
    <w:basedOn w:val="a1"/>
    <w:link w:val="af3"/>
    <w:rsid w:val="00BE2F6E"/>
    <w:rPr>
      <w:sz w:val="20"/>
      <w:szCs w:val="20"/>
    </w:rPr>
  </w:style>
  <w:style w:styleId="af5" w:type="paragraph">
    <w:name w:val="footer"/>
    <w:basedOn w:val="a"/>
    <w:link w:val="af6"/>
    <w:unhideWhenUsed/>
    <w:rsid w:val="00BE2F6E"/>
    <w:pPr>
      <w:tabs>
        <w:tab w:pos="4153" w:val="center"/>
        <w:tab w:pos="8306" w:val="right"/>
      </w:tabs>
      <w:snapToGrid w:val="0"/>
    </w:pPr>
    <w:rPr>
      <w:sz w:val="20"/>
      <w:szCs w:val="20"/>
    </w:rPr>
  </w:style>
  <w:style w:customStyle="1" w:styleId="af6" w:type="character">
    <w:name w:val="頁尾 字元"/>
    <w:basedOn w:val="a1"/>
    <w:link w:val="af5"/>
    <w:rsid w:val="00BE2F6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media/image2.png" Type="http://schemas.openxmlformats.org/officeDocument/2006/relationships/image" /><Relationship Id="rId7" Target="media/image1.png" Type="http://schemas.openxmlformats.org/officeDocument/2006/relationships/image" /><Relationship Id="rId9" Target="media/image3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1586</Words>
  <Characters>9045</Characters>
  <Application>Microsoft Office Word</Application>
  <DocSecurity>0</DocSecurity>
  <Lines>75</Lines>
  <Paragraphs>21</Paragraphs>
  <ScaleCrop>false</ScaleCrop>
  <Company/>
  <LinksUpToDate>false</LinksUpToDate>
  <CharactersWithSpaces>10610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2026-06-29T08:25:52Z</dcterms:created>
  <dcterms:modified xsi:type="dcterms:W3CDTF">2026-06-29T08:25:52Z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