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721A7" w14:textId="77777777" w:rsidR="002A53B1" w:rsidRPr="00153A9A" w:rsidRDefault="002A53B1" w:rsidP="002A53B1">
      <w:pPr>
        <w:pStyle w:val="1"/>
        <w:tabs>
          <w:tab w:val="center" w:pos="4560"/>
        </w:tabs>
        <w:spacing w:line="360" w:lineRule="auto"/>
        <w:jc w:val="center"/>
        <w:rPr>
          <w:rFonts w:ascii="標楷體" w:eastAsia="標楷體" w:hAnsi="標楷體"/>
          <w:b/>
          <w:bCs/>
          <w:color w:val="auto"/>
          <w:sz w:val="32"/>
          <w:szCs w:val="32"/>
        </w:rPr>
      </w:pPr>
      <w:bookmarkStart w:id="0" w:name="謝辭"/>
      <w:r w:rsidRPr="00153A9A">
        <w:rPr>
          <w:rFonts w:ascii="標楷體" w:eastAsia="標楷體" w:hAnsi="標楷體" w:hint="eastAsia"/>
          <w:b/>
          <w:bCs/>
          <w:color w:val="auto"/>
          <w:sz w:val="32"/>
          <w:szCs w:val="32"/>
        </w:rPr>
        <w:t>謝辭</w:t>
      </w:r>
    </w:p>
    <w:p w14:paraId="21B2E141" w14:textId="77777777" w:rsidR="002A53B1" w:rsidRPr="00153A9A" w:rsidRDefault="002A53B1" w:rsidP="002A53B1">
      <w:pPr>
        <w:pStyle w:val="FirstParagraph"/>
        <w:spacing w:before="0" w:after="0" w:line="360" w:lineRule="auto"/>
        <w:ind w:firstLineChars="200" w:firstLine="480"/>
        <w:jc w:val="both"/>
        <w:rPr>
          <w:rFonts w:ascii="標楷體" w:eastAsia="標楷體" w:hAnsi="標楷體"/>
        </w:rPr>
      </w:pPr>
      <w:r w:rsidRPr="00153A9A">
        <w:rPr>
          <w:rFonts w:ascii="標楷體" w:eastAsia="標楷體" w:hAnsi="標楷體" w:hint="eastAsia"/>
        </w:rPr>
        <w:t>脫離學業十年有餘，回想當初考上心目中的臺北科技大學時，抱著由你玩四年的心態，並沒有將重心放在課業上。然而，大學時期工程數學課堂上，楊士萱教授曾說過一句話：「不要對自己太好」，這句話一直銘記在心，卻是出了社會、經歷了職場的磨練後，才真正深刻體悟其中的意義。十多年後，帶著截然不同的心態重返學術殿堂，這一次，我格外珍惜每一堂課、每一次學習的機會。</w:t>
      </w:r>
    </w:p>
    <w:p w14:paraId="66784F6E" w14:textId="77777777" w:rsidR="002A53B1" w:rsidRPr="00153A9A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標楷體" w:eastAsia="標楷體" w:hAnsi="標楷體"/>
        </w:rPr>
      </w:pPr>
      <w:r w:rsidRPr="00153A9A">
        <w:rPr>
          <w:rFonts w:ascii="標楷體" w:eastAsia="標楷體" w:hAnsi="標楷體" w:hint="eastAsia"/>
        </w:rPr>
        <w:t>首先，誠摯感謝指導教授許揚老師的悉心指導。當初選擇軟體工程作為研究方向，正是因為這個領域與我十多年的軟體開發職涯高度契合，這是一個不會後悔的選擇。教授深知在職學生的處境，鼓勵我從工作實務中尋找研究題目，讓學術研究與職場經驗得以相互印證，這樣的指導方式讓我受益良多。</w:t>
      </w:r>
    </w:p>
    <w:p w14:paraId="308C207B" w14:textId="77777777" w:rsidR="002A53B1" w:rsidRPr="00153A9A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標楷體" w:eastAsia="標楷體" w:hAnsi="標楷體"/>
        </w:rPr>
      </w:pPr>
      <w:r w:rsidRPr="00153A9A">
        <w:rPr>
          <w:rFonts w:ascii="標楷體" w:eastAsia="標楷體" w:hAnsi="標楷體" w:hint="eastAsia"/>
        </w:rPr>
        <w:t>感謝公司大安聯合醫事檢驗所提供的在職進修福利，這份制度成為我重返學術領域的重要推力。公司全額補助學費，大幅降低了經濟上的顧慮，使我能夠專注於學業。同時，順利取得碩士學位後的額外加薪制度，更體現了公司對員工自我提升的重視。我始終相信，所學到的知識是別人帶不走的，而公司投資員工成長、員工回饋所學於工作，正是一個雙贏的局面。</w:t>
      </w:r>
    </w:p>
    <w:p w14:paraId="0AC6C948" w14:textId="77777777" w:rsidR="002A53B1" w:rsidRPr="00153A9A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標楷體" w:eastAsia="標楷體" w:hAnsi="標楷體"/>
        </w:rPr>
      </w:pPr>
      <w:r w:rsidRPr="00153A9A">
        <w:rPr>
          <w:rFonts w:ascii="標楷體" w:eastAsia="標楷體" w:hAnsi="標楷體" w:hint="eastAsia"/>
        </w:rPr>
        <w:t>最後，我要特別感謝我的妻子。她是一位獨立且有能力的人，在我每天早出晚歸的求學期間，默默承擔了許多家庭的責任與付出。更令人欣慰的是，在我就讀碩士的第一年，她也報名了國外的碩士進修課程，大兒子進入國小一年級，小兒子進入幼稚園——一家四口同時都是學生，整個家庭充滿了學習的氛圍。這份共同成長的經歷，是這段求學旅程中最珍貴的收穫。</w:t>
      </w:r>
    </w:p>
    <w:p w14:paraId="07248449" w14:textId="77777777" w:rsidR="002A53B1" w:rsidRPr="00153A9A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標楷體" w:eastAsia="標楷體" w:hAnsi="標楷體"/>
        </w:rPr>
      </w:pPr>
      <w:r w:rsidRPr="00153A9A">
        <w:rPr>
          <w:rFonts w:ascii="標楷體" w:eastAsia="標楷體" w:hAnsi="標楷體" w:hint="eastAsia"/>
        </w:rPr>
        <w:t>謹以此論文，獻給所有支持我的人。</w:t>
      </w:r>
      <w:bookmarkEnd w:id="0"/>
    </w:p>
    <w:p w14:paraId="12277EED" w14:textId="0CC4A514" w:rsidR="002A53B1" w:rsidRDefault="002A53B1">
      <w:pPr>
        <w:spacing w:after="0"/>
      </w:pPr>
      <w:r>
        <w:br w:type="page"/>
      </w:r>
    </w:p>
    <w:p w14:paraId="2A5A02BD" w14:textId="77777777" w:rsidR="002A53B1" w:rsidRPr="00B7692D" w:rsidRDefault="002A53B1" w:rsidP="002A53B1">
      <w:pPr>
        <w:pStyle w:val="1"/>
        <w:tabs>
          <w:tab w:val="center" w:pos="4419"/>
          <w:tab w:val="left" w:pos="6950"/>
        </w:tabs>
        <w:rPr>
          <w:rFonts w:ascii="Times New Roman" w:eastAsia="標楷體" w:hAnsi="Times New Roman" w:cs="Times New Roman"/>
          <w:b/>
          <w:bCs/>
          <w:color w:val="auto"/>
          <w:sz w:val="32"/>
          <w:szCs w:val="32"/>
        </w:rPr>
      </w:pPr>
      <w:bookmarkStart w:id="1" w:name="中文摘要"/>
      <w:r>
        <w:rPr>
          <w:rFonts w:ascii="Times New Roman" w:eastAsia="標楷體" w:hAnsi="Times New Roman" w:cs="Times New Roman"/>
          <w:b/>
          <w:bCs/>
          <w:color w:val="auto"/>
          <w:sz w:val="32"/>
          <w:szCs w:val="32"/>
        </w:rPr>
        <w:lastRenderedPageBreak/>
        <w:tab/>
      </w:r>
      <w:r w:rsidRPr="00B7692D">
        <w:rPr>
          <w:rFonts w:ascii="Times New Roman" w:eastAsia="標楷體" w:hAnsi="Times New Roman" w:cs="Times New Roman"/>
          <w:b/>
          <w:bCs/>
          <w:color w:val="auto"/>
          <w:sz w:val="32"/>
          <w:szCs w:val="32"/>
        </w:rPr>
        <w:t>中文摘要</w:t>
      </w:r>
      <w:r>
        <w:rPr>
          <w:rFonts w:ascii="Times New Roman" w:eastAsia="標楷體" w:hAnsi="Times New Roman" w:cs="Times New Roman"/>
          <w:b/>
          <w:bCs/>
          <w:color w:val="auto"/>
          <w:sz w:val="32"/>
          <w:szCs w:val="32"/>
        </w:rPr>
        <w:tab/>
      </w:r>
    </w:p>
    <w:p w14:paraId="5A27E274" w14:textId="77777777" w:rsidR="002A53B1" w:rsidRDefault="002A53B1" w:rsidP="002A53B1">
      <w:pPr>
        <w:pStyle w:val="FirstParagraph"/>
        <w:spacing w:before="0" w:after="0" w:line="360" w:lineRule="auto"/>
        <w:jc w:val="both"/>
        <w:rPr>
          <w:rFonts w:ascii="Times New Roman" w:eastAsia="DengXian" w:hAnsi="Times New Roman" w:cs="Times New Roman"/>
        </w:rPr>
      </w:pPr>
      <w:r w:rsidRPr="002708E3">
        <w:rPr>
          <w:rFonts w:ascii="Times New Roman" w:eastAsia="標楷體" w:hAnsi="Times New Roman" w:cs="Times New Roman"/>
          <w:b/>
          <w:bCs/>
        </w:rPr>
        <w:t>論文題目</w:t>
      </w:r>
      <w:r w:rsidRPr="002708E3">
        <w:rPr>
          <w:rFonts w:ascii="Times New Roman" w:eastAsia="標楷體" w:hAnsi="Times New Roman" w:cs="Times New Roman"/>
        </w:rPr>
        <w:t>：縱向健檢資料與變化量特徵之三高疾病風險預測：多模型比較研究</w:t>
      </w:r>
    </w:p>
    <w:p w14:paraId="47275528" w14:textId="77777777" w:rsidR="002A53B1" w:rsidRPr="002708E3" w:rsidRDefault="002A53B1" w:rsidP="002A53B1">
      <w:pPr>
        <w:pStyle w:val="a0"/>
        <w:spacing w:before="0" w:after="0" w:line="360" w:lineRule="auto"/>
        <w:rPr>
          <w:rFonts w:eastAsia="DengXian"/>
        </w:rPr>
      </w:pPr>
    </w:p>
    <w:p w14:paraId="4AFAB147" w14:textId="77777777" w:rsidR="002A53B1" w:rsidRPr="002708E3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Times New Roman" w:eastAsia="DengXian" w:hAnsi="Times New Roman" w:cs="Times New Roman"/>
        </w:rPr>
      </w:pPr>
      <w:r w:rsidRPr="002708E3">
        <w:rPr>
          <w:rFonts w:ascii="Times New Roman" w:eastAsia="標楷體" w:hAnsi="Times New Roman" w:cs="Times New Roman" w:hint="eastAsia"/>
        </w:rPr>
        <w:t>三高疾病（高血壓、高血糖、高血脂）是全球主要的慢性疾病，也是心血管疾病的關鍵可控風險因子。然而，現有風險評估方法多仰賴單一時間點的檢驗數據，未能充分利用縱向健檢資料中蘊含的動態資訊。</w:t>
      </w:r>
    </w:p>
    <w:p w14:paraId="0E6FD127" w14:textId="77777777" w:rsidR="002A53B1" w:rsidRPr="002708E3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Times New Roman" w:eastAsia="DengXian" w:hAnsi="Times New Roman" w:cs="Times New Roman"/>
        </w:rPr>
      </w:pPr>
      <w:r w:rsidRPr="002708E3">
        <w:rPr>
          <w:rFonts w:ascii="Times New Roman" w:eastAsia="標楷體" w:hAnsi="Times New Roman" w:cs="Times New Roman" w:hint="eastAsia"/>
        </w:rPr>
        <w:t>本研究使用公開於</w:t>
      </w:r>
      <w:r w:rsidRPr="002708E3">
        <w:rPr>
          <w:rFonts w:ascii="Times New Roman" w:eastAsia="標楷體" w:hAnsi="Times New Roman" w:cs="Times New Roman" w:hint="eastAsia"/>
        </w:rPr>
        <w:t xml:space="preserve"> Dryad </w:t>
      </w:r>
      <w:r w:rsidRPr="002708E3">
        <w:rPr>
          <w:rFonts w:ascii="Times New Roman" w:eastAsia="標楷體" w:hAnsi="Times New Roman" w:cs="Times New Roman" w:hint="eastAsia"/>
        </w:rPr>
        <w:t>資料庫的縱向健檢資料集（</w:t>
      </w:r>
      <w:r w:rsidRPr="002708E3">
        <w:rPr>
          <w:rFonts w:ascii="Times New Roman" w:eastAsia="標楷體" w:hAnsi="Times New Roman" w:cs="Times New Roman" w:hint="eastAsia"/>
        </w:rPr>
        <w:t>Luo et al., 2024</w:t>
      </w:r>
      <w:r w:rsidRPr="002708E3">
        <w:rPr>
          <w:rFonts w:ascii="Times New Roman" w:eastAsia="標楷體" w:hAnsi="Times New Roman" w:cs="Times New Roman" w:hint="eastAsia"/>
        </w:rPr>
        <w:t>），涵蓋</w:t>
      </w:r>
      <w:r w:rsidRPr="002708E3">
        <w:rPr>
          <w:rFonts w:ascii="Times New Roman" w:eastAsia="標楷體" w:hAnsi="Times New Roman" w:cs="Times New Roman" w:hint="eastAsia"/>
        </w:rPr>
        <w:t xml:space="preserve"> 6,056 </w:t>
      </w:r>
      <w:r w:rsidRPr="002708E3">
        <w:rPr>
          <w:rFonts w:ascii="Times New Roman" w:eastAsia="標楷體" w:hAnsi="Times New Roman" w:cs="Times New Roman" w:hint="eastAsia"/>
        </w:rPr>
        <w:t>位</w:t>
      </w:r>
      <w:r w:rsidRPr="002708E3">
        <w:rPr>
          <w:rFonts w:ascii="Times New Roman" w:eastAsia="標楷體" w:hAnsi="Times New Roman" w:cs="Times New Roman" w:hint="eastAsia"/>
        </w:rPr>
        <w:t xml:space="preserve"> 40 </w:t>
      </w:r>
      <w:r w:rsidRPr="002708E3">
        <w:rPr>
          <w:rFonts w:ascii="Times New Roman" w:eastAsia="標楷體" w:hAnsi="Times New Roman" w:cs="Times New Roman" w:hint="eastAsia"/>
        </w:rPr>
        <w:t>歲以上社區成人，追蹤期間為</w:t>
      </w:r>
      <w:r w:rsidRPr="002708E3">
        <w:rPr>
          <w:rFonts w:ascii="Times New Roman" w:eastAsia="標楷體" w:hAnsi="Times New Roman" w:cs="Times New Roman" w:hint="eastAsia"/>
        </w:rPr>
        <w:t xml:space="preserve"> 2010 </w:t>
      </w:r>
      <w:r w:rsidRPr="002708E3">
        <w:rPr>
          <w:rFonts w:ascii="Times New Roman" w:eastAsia="標楷體" w:hAnsi="Times New Roman" w:cs="Times New Roman" w:hint="eastAsia"/>
        </w:rPr>
        <w:t>至</w:t>
      </w:r>
      <w:r w:rsidRPr="002708E3">
        <w:rPr>
          <w:rFonts w:ascii="Times New Roman" w:eastAsia="標楷體" w:hAnsi="Times New Roman" w:cs="Times New Roman" w:hint="eastAsia"/>
        </w:rPr>
        <w:t xml:space="preserve"> 2018 </w:t>
      </w:r>
      <w:r w:rsidRPr="002708E3">
        <w:rPr>
          <w:rFonts w:ascii="Times New Roman" w:eastAsia="標楷體" w:hAnsi="Times New Roman" w:cs="Times New Roman" w:hint="eastAsia"/>
        </w:rPr>
        <w:t>年。研究採用三時間點縱貫設計（</w:t>
      </w:r>
      <w:r w:rsidRPr="002708E3">
        <w:rPr>
          <w:rFonts w:ascii="Times New Roman" w:eastAsia="標楷體" w:hAnsi="Times New Roman" w:cs="Times New Roman" w:hint="eastAsia"/>
        </w:rPr>
        <w:t>Y-2</w:t>
      </w:r>
      <w:r w:rsidRPr="002708E3">
        <w:rPr>
          <w:rFonts w:ascii="Times New Roman" w:eastAsia="標楷體" w:hAnsi="Times New Roman" w:cs="Times New Roman" w:hint="eastAsia"/>
        </w:rPr>
        <w:t>、</w:t>
      </w:r>
      <w:r w:rsidRPr="002708E3">
        <w:rPr>
          <w:rFonts w:ascii="Times New Roman" w:eastAsia="標楷體" w:hAnsi="Times New Roman" w:cs="Times New Roman" w:hint="eastAsia"/>
        </w:rPr>
        <w:t>Y-1</w:t>
      </w:r>
      <w:r w:rsidRPr="002708E3">
        <w:rPr>
          <w:rFonts w:ascii="Times New Roman" w:eastAsia="標楷體" w:hAnsi="Times New Roman" w:cs="Times New Roman" w:hint="eastAsia"/>
        </w:rPr>
        <w:t>、</w:t>
      </w:r>
      <w:r w:rsidRPr="002708E3">
        <w:rPr>
          <w:rFonts w:ascii="Times New Roman" w:eastAsia="標楷體" w:hAnsi="Times New Roman" w:cs="Times New Roman" w:hint="eastAsia"/>
        </w:rPr>
        <w:t>Y0</w:t>
      </w:r>
      <w:r w:rsidRPr="002708E3">
        <w:rPr>
          <w:rFonts w:ascii="Times New Roman" w:eastAsia="標楷體" w:hAnsi="Times New Roman" w:cs="Times New Roman" w:hint="eastAsia"/>
        </w:rPr>
        <w:t>），以健檢指標及其變化量（Δ</w:t>
      </w:r>
      <w:r w:rsidRPr="002708E3">
        <w:rPr>
          <w:rFonts w:ascii="Times New Roman" w:eastAsia="標楷體" w:hAnsi="Times New Roman" w:cs="Times New Roman" w:hint="eastAsia"/>
        </w:rPr>
        <w:t xml:space="preserve"> </w:t>
      </w:r>
      <w:r w:rsidRPr="002708E3">
        <w:rPr>
          <w:rFonts w:ascii="Times New Roman" w:eastAsia="標楷體" w:hAnsi="Times New Roman" w:cs="Times New Roman" w:hint="eastAsia"/>
        </w:rPr>
        <w:t>特徵）預測三高疾病狀態，透過滑動窗口法產生</w:t>
      </w:r>
      <w:r w:rsidRPr="002708E3">
        <w:rPr>
          <w:rFonts w:ascii="Times New Roman" w:eastAsia="標楷體" w:hAnsi="Times New Roman" w:cs="Times New Roman" w:hint="eastAsia"/>
        </w:rPr>
        <w:t xml:space="preserve"> 13,514 </w:t>
      </w:r>
      <w:r w:rsidRPr="002708E3">
        <w:rPr>
          <w:rFonts w:ascii="Times New Roman" w:eastAsia="標楷體" w:hAnsi="Times New Roman" w:cs="Times New Roman" w:hint="eastAsia"/>
        </w:rPr>
        <w:t>筆建模紀錄。本研究系統性比較八種模型（傳統統計、樹模型、</w:t>
      </w:r>
      <w:r w:rsidRPr="002708E3">
        <w:rPr>
          <w:rFonts w:ascii="Times New Roman" w:eastAsia="標楷體" w:hAnsi="Times New Roman" w:cs="Times New Roman" w:hint="eastAsia"/>
        </w:rPr>
        <w:t xml:space="preserve">SVM </w:t>
      </w:r>
      <w:r w:rsidRPr="002708E3">
        <w:rPr>
          <w:rFonts w:ascii="Times New Roman" w:eastAsia="標楷體" w:hAnsi="Times New Roman" w:cs="Times New Roman" w:hint="eastAsia"/>
        </w:rPr>
        <w:t>及神經網路），並以符號回歸探討可解釋性，實驗採用</w:t>
      </w:r>
      <w:r w:rsidRPr="002708E3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2708E3">
        <w:rPr>
          <w:rFonts w:ascii="Times New Roman" w:eastAsia="標楷體" w:hAnsi="Times New Roman" w:cs="Times New Roman" w:hint="eastAsia"/>
        </w:rPr>
        <w:t>StratifiedGroupKFold</w:t>
      </w:r>
      <w:proofErr w:type="spellEnd"/>
      <w:r w:rsidRPr="002708E3">
        <w:rPr>
          <w:rFonts w:ascii="Times New Roman" w:eastAsia="標楷體" w:hAnsi="Times New Roman" w:cs="Times New Roman" w:hint="eastAsia"/>
        </w:rPr>
        <w:t xml:space="preserve"> </w:t>
      </w:r>
      <w:r w:rsidRPr="002708E3">
        <w:rPr>
          <w:rFonts w:ascii="Times New Roman" w:eastAsia="標楷體" w:hAnsi="Times New Roman" w:cs="Times New Roman" w:hint="eastAsia"/>
        </w:rPr>
        <w:t>五折交叉驗證確保無資料洩漏。</w:t>
      </w:r>
    </w:p>
    <w:p w14:paraId="72B78F45" w14:textId="77777777" w:rsidR="002A53B1" w:rsidRPr="002708E3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Times New Roman" w:eastAsia="DengXian" w:hAnsi="Times New Roman" w:cs="Times New Roman"/>
        </w:rPr>
      </w:pPr>
      <w:r w:rsidRPr="002708E3">
        <w:rPr>
          <w:rFonts w:ascii="Times New Roman" w:eastAsia="標楷體" w:hAnsi="Times New Roman" w:cs="Times New Roman" w:hint="eastAsia"/>
        </w:rPr>
        <w:t>主要研究發現：（</w:t>
      </w:r>
      <w:r w:rsidRPr="002708E3">
        <w:rPr>
          <w:rFonts w:ascii="Times New Roman" w:eastAsia="標楷體" w:hAnsi="Times New Roman" w:cs="Times New Roman" w:hint="eastAsia"/>
        </w:rPr>
        <w:t>1</w:t>
      </w:r>
      <w:r w:rsidRPr="002708E3">
        <w:rPr>
          <w:rFonts w:ascii="Times New Roman" w:eastAsia="標楷體" w:hAnsi="Times New Roman" w:cs="Times New Roman" w:hint="eastAsia"/>
        </w:rPr>
        <w:t>）</w:t>
      </w:r>
      <w:r w:rsidRPr="002708E3">
        <w:rPr>
          <w:rFonts w:ascii="Times New Roman" w:eastAsia="標楷體" w:hAnsi="Times New Roman" w:cs="Times New Roman" w:hint="eastAsia"/>
        </w:rPr>
        <w:t xml:space="preserve">Logistic Regression </w:t>
      </w:r>
      <w:r w:rsidRPr="002708E3">
        <w:rPr>
          <w:rFonts w:ascii="Times New Roman" w:eastAsia="標楷體" w:hAnsi="Times New Roman" w:cs="Times New Roman" w:hint="eastAsia"/>
        </w:rPr>
        <w:t>表現穩定優異，高血糖預測</w:t>
      </w:r>
      <w:r w:rsidRPr="002708E3">
        <w:rPr>
          <w:rFonts w:ascii="Times New Roman" w:eastAsia="標楷體" w:hAnsi="Times New Roman" w:cs="Times New Roman" w:hint="eastAsia"/>
        </w:rPr>
        <w:t xml:space="preserve"> AUC </w:t>
      </w:r>
      <w:r w:rsidRPr="002708E3">
        <w:rPr>
          <w:rFonts w:ascii="Times New Roman" w:eastAsia="標楷體" w:hAnsi="Times New Roman" w:cs="Times New Roman" w:hint="eastAsia"/>
        </w:rPr>
        <w:t>達</w:t>
      </w:r>
      <w:r w:rsidRPr="002708E3">
        <w:rPr>
          <w:rFonts w:ascii="Times New Roman" w:eastAsia="標楷體" w:hAnsi="Times New Roman" w:cs="Times New Roman" w:hint="eastAsia"/>
        </w:rPr>
        <w:t xml:space="preserve"> 0.938</w:t>
      </w:r>
      <w:r w:rsidRPr="002708E3">
        <w:rPr>
          <w:rFonts w:ascii="Times New Roman" w:eastAsia="標楷體" w:hAnsi="Times New Roman" w:cs="Times New Roman" w:hint="eastAsia"/>
        </w:rPr>
        <w:t>；（</w:t>
      </w:r>
      <w:r w:rsidRPr="002708E3">
        <w:rPr>
          <w:rFonts w:ascii="Times New Roman" w:eastAsia="標楷體" w:hAnsi="Times New Roman" w:cs="Times New Roman" w:hint="eastAsia"/>
        </w:rPr>
        <w:t>2</w:t>
      </w:r>
      <w:r w:rsidRPr="002708E3">
        <w:rPr>
          <w:rFonts w:ascii="Times New Roman" w:eastAsia="標楷體" w:hAnsi="Times New Roman" w:cs="Times New Roman" w:hint="eastAsia"/>
        </w:rPr>
        <w:t>）Δ</w:t>
      </w:r>
      <w:r w:rsidRPr="002708E3">
        <w:rPr>
          <w:rFonts w:ascii="Times New Roman" w:eastAsia="標楷體" w:hAnsi="Times New Roman" w:cs="Times New Roman" w:hint="eastAsia"/>
        </w:rPr>
        <w:t xml:space="preserve"> </w:t>
      </w:r>
      <w:r w:rsidRPr="002708E3">
        <w:rPr>
          <w:rFonts w:ascii="Times New Roman" w:eastAsia="標楷體" w:hAnsi="Times New Roman" w:cs="Times New Roman" w:hint="eastAsia"/>
        </w:rPr>
        <w:t>特徵可帶來</w:t>
      </w:r>
      <w:r w:rsidRPr="002708E3">
        <w:rPr>
          <w:rFonts w:ascii="Times New Roman" w:eastAsia="標楷體" w:hAnsi="Times New Roman" w:cs="Times New Roman" w:hint="eastAsia"/>
        </w:rPr>
        <w:t xml:space="preserve"> 1.5%</w:t>
      </w:r>
      <w:r w:rsidRPr="002708E3">
        <w:rPr>
          <w:rFonts w:ascii="Times New Roman" w:eastAsia="標楷體" w:hAnsi="Times New Roman" w:cs="Times New Roman" w:hint="eastAsia"/>
        </w:rPr>
        <w:t>–</w:t>
      </w:r>
      <w:r w:rsidRPr="002708E3">
        <w:rPr>
          <w:rFonts w:ascii="Times New Roman" w:eastAsia="標楷體" w:hAnsi="Times New Roman" w:cs="Times New Roman" w:hint="eastAsia"/>
        </w:rPr>
        <w:t xml:space="preserve">2.3% </w:t>
      </w:r>
      <w:r w:rsidRPr="002708E3">
        <w:rPr>
          <w:rFonts w:ascii="Times New Roman" w:eastAsia="標楷體" w:hAnsi="Times New Roman" w:cs="Times New Roman" w:hint="eastAsia"/>
        </w:rPr>
        <w:t>的</w:t>
      </w:r>
      <w:r w:rsidRPr="002708E3">
        <w:rPr>
          <w:rFonts w:ascii="Times New Roman" w:eastAsia="標楷體" w:hAnsi="Times New Roman" w:cs="Times New Roman" w:hint="eastAsia"/>
        </w:rPr>
        <w:t xml:space="preserve"> AUC </w:t>
      </w:r>
      <w:r w:rsidRPr="002708E3">
        <w:rPr>
          <w:rFonts w:ascii="Times New Roman" w:eastAsia="標楷體" w:hAnsi="Times New Roman" w:cs="Times New Roman" w:hint="eastAsia"/>
        </w:rPr>
        <w:t>提升，且在</w:t>
      </w:r>
      <w:r w:rsidRPr="002708E3">
        <w:rPr>
          <w:rFonts w:ascii="Times New Roman" w:eastAsia="標楷體" w:hAnsi="Times New Roman" w:cs="Times New Roman" w:hint="eastAsia"/>
        </w:rPr>
        <w:t xml:space="preserve"> Top 10 </w:t>
      </w:r>
      <w:r w:rsidRPr="002708E3">
        <w:rPr>
          <w:rFonts w:ascii="Times New Roman" w:eastAsia="標楷體" w:hAnsi="Times New Roman" w:cs="Times New Roman" w:hint="eastAsia"/>
        </w:rPr>
        <w:t>重要特徵中佔比達</w:t>
      </w:r>
      <w:r w:rsidRPr="002708E3">
        <w:rPr>
          <w:rFonts w:ascii="Times New Roman" w:eastAsia="標楷體" w:hAnsi="Times New Roman" w:cs="Times New Roman" w:hint="eastAsia"/>
        </w:rPr>
        <w:t xml:space="preserve"> 30</w:t>
      </w:r>
      <w:r w:rsidRPr="002708E3">
        <w:rPr>
          <w:rFonts w:ascii="Times New Roman" w:eastAsia="標楷體" w:hAnsi="Times New Roman" w:cs="Times New Roman" w:hint="eastAsia"/>
        </w:rPr>
        <w:t>–</w:t>
      </w:r>
      <w:r w:rsidRPr="002708E3">
        <w:rPr>
          <w:rFonts w:ascii="Times New Roman" w:eastAsia="標楷體" w:hAnsi="Times New Roman" w:cs="Times New Roman" w:hint="eastAsia"/>
        </w:rPr>
        <w:t>50%</w:t>
      </w:r>
      <w:r w:rsidRPr="002708E3">
        <w:rPr>
          <w:rFonts w:ascii="Times New Roman" w:eastAsia="標楷體" w:hAnsi="Times New Roman" w:cs="Times New Roman" w:hint="eastAsia"/>
        </w:rPr>
        <w:t>；（</w:t>
      </w:r>
      <w:r w:rsidRPr="002708E3">
        <w:rPr>
          <w:rFonts w:ascii="Times New Roman" w:eastAsia="標楷體" w:hAnsi="Times New Roman" w:cs="Times New Roman" w:hint="eastAsia"/>
        </w:rPr>
        <w:t>3</w:t>
      </w:r>
      <w:r w:rsidRPr="002708E3">
        <w:rPr>
          <w:rFonts w:ascii="Times New Roman" w:eastAsia="標楷體" w:hAnsi="Times New Roman" w:cs="Times New Roman" w:hint="eastAsia"/>
        </w:rPr>
        <w:t>）</w:t>
      </w:r>
      <w:r w:rsidRPr="002708E3">
        <w:rPr>
          <w:rFonts w:ascii="Times New Roman" w:eastAsia="標楷體" w:hAnsi="Times New Roman" w:cs="Times New Roman" w:hint="eastAsia"/>
        </w:rPr>
        <w:t xml:space="preserve">SHAP </w:t>
      </w:r>
      <w:r w:rsidRPr="002708E3">
        <w:rPr>
          <w:rFonts w:ascii="Times New Roman" w:eastAsia="標楷體" w:hAnsi="Times New Roman" w:cs="Times New Roman" w:hint="eastAsia"/>
        </w:rPr>
        <w:t>分析揭示疾病特異性預測因子；（</w:t>
      </w:r>
      <w:r w:rsidRPr="002708E3">
        <w:rPr>
          <w:rFonts w:ascii="Times New Roman" w:eastAsia="標楷體" w:hAnsi="Times New Roman" w:cs="Times New Roman" w:hint="eastAsia"/>
        </w:rPr>
        <w:t>4</w:t>
      </w:r>
      <w:r w:rsidRPr="002708E3">
        <w:rPr>
          <w:rFonts w:ascii="Times New Roman" w:eastAsia="標楷體" w:hAnsi="Times New Roman" w:cs="Times New Roman" w:hint="eastAsia"/>
        </w:rPr>
        <w:t>）符號回歸發現極簡公式即可達到</w:t>
      </w:r>
      <w:r w:rsidRPr="002708E3">
        <w:rPr>
          <w:rFonts w:ascii="Times New Roman" w:eastAsia="標楷體" w:hAnsi="Times New Roman" w:cs="Times New Roman" w:hint="eastAsia"/>
        </w:rPr>
        <w:t xml:space="preserve"> AUC 0.943</w:t>
      </w:r>
      <w:r w:rsidRPr="002708E3">
        <w:rPr>
          <w:rFonts w:ascii="Times New Roman" w:eastAsia="標楷體" w:hAnsi="Times New Roman" w:cs="Times New Roman" w:hint="eastAsia"/>
        </w:rPr>
        <w:t>；（</w:t>
      </w:r>
      <w:r w:rsidRPr="002708E3">
        <w:rPr>
          <w:rFonts w:ascii="Times New Roman" w:eastAsia="標楷體" w:hAnsi="Times New Roman" w:cs="Times New Roman" w:hint="eastAsia"/>
        </w:rPr>
        <w:t>5</w:t>
      </w:r>
      <w:r w:rsidRPr="002708E3">
        <w:rPr>
          <w:rFonts w:ascii="Times New Roman" w:eastAsia="標楷體" w:hAnsi="Times New Roman" w:cs="Times New Roman" w:hint="eastAsia"/>
        </w:rPr>
        <w:t>）累積更多健檢紀錄有助於提升預測性能；（</w:t>
      </w:r>
      <w:r w:rsidRPr="002708E3">
        <w:rPr>
          <w:rFonts w:ascii="Times New Roman" w:eastAsia="標楷體" w:hAnsi="Times New Roman" w:cs="Times New Roman" w:hint="eastAsia"/>
        </w:rPr>
        <w:t>6</w:t>
      </w:r>
      <w:r w:rsidRPr="002708E3">
        <w:rPr>
          <w:rFonts w:ascii="Times New Roman" w:eastAsia="標楷體" w:hAnsi="Times New Roman" w:cs="Times New Roman" w:hint="eastAsia"/>
        </w:rPr>
        <w:t>）僅用</w:t>
      </w:r>
      <w:r w:rsidRPr="002708E3">
        <w:rPr>
          <w:rFonts w:ascii="Times New Roman" w:eastAsia="標楷體" w:hAnsi="Times New Roman" w:cs="Times New Roman" w:hint="eastAsia"/>
        </w:rPr>
        <w:t xml:space="preserve"> Top 5 </w:t>
      </w:r>
      <w:r w:rsidRPr="002708E3">
        <w:rPr>
          <w:rFonts w:ascii="Times New Roman" w:eastAsia="標楷體" w:hAnsi="Times New Roman" w:cs="Times New Roman" w:hint="eastAsia"/>
        </w:rPr>
        <w:t>特徵，</w:t>
      </w:r>
      <w:r w:rsidRPr="002708E3">
        <w:rPr>
          <w:rFonts w:ascii="Times New Roman" w:eastAsia="標楷體" w:hAnsi="Times New Roman" w:cs="Times New Roman" w:hint="eastAsia"/>
        </w:rPr>
        <w:t xml:space="preserve">AUC </w:t>
      </w:r>
      <w:r w:rsidRPr="002708E3">
        <w:rPr>
          <w:rFonts w:ascii="Times New Roman" w:eastAsia="標楷體" w:hAnsi="Times New Roman" w:cs="Times New Roman" w:hint="eastAsia"/>
        </w:rPr>
        <w:t>降幅小於</w:t>
      </w:r>
      <w:r w:rsidRPr="002708E3">
        <w:rPr>
          <w:rFonts w:ascii="Times New Roman" w:eastAsia="標楷體" w:hAnsi="Times New Roman" w:cs="Times New Roman" w:hint="eastAsia"/>
        </w:rPr>
        <w:t xml:space="preserve"> 0.5%</w:t>
      </w:r>
      <w:r w:rsidRPr="002708E3">
        <w:rPr>
          <w:rFonts w:ascii="Times New Roman" w:eastAsia="標楷體" w:hAnsi="Times New Roman" w:cs="Times New Roman" w:hint="eastAsia"/>
        </w:rPr>
        <w:t>。</w:t>
      </w:r>
    </w:p>
    <w:p w14:paraId="07003C90" w14:textId="77777777" w:rsidR="002A53B1" w:rsidRPr="002708E3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Times New Roman" w:eastAsia="標楷體" w:hAnsi="Times New Roman" w:cs="Times New Roman"/>
        </w:rPr>
      </w:pPr>
      <w:r w:rsidRPr="002708E3">
        <w:rPr>
          <w:rFonts w:ascii="Times New Roman" w:eastAsia="標楷體" w:hAnsi="Times New Roman" w:cs="Times New Roman" w:hint="eastAsia"/>
        </w:rPr>
        <w:t>本研究證實：以縱向健檢資料透過簡單特徵工程與線性模型，即可達到臨床可用的預測性能，適合在基層醫療單位實施早期預警系統。</w:t>
      </w:r>
    </w:p>
    <w:p w14:paraId="2F200268" w14:textId="77777777" w:rsidR="002A53B1" w:rsidRPr="002708E3" w:rsidRDefault="002A53B1" w:rsidP="002A53B1">
      <w:pPr>
        <w:pStyle w:val="a0"/>
        <w:spacing w:before="0" w:after="0" w:line="360" w:lineRule="auto"/>
        <w:jc w:val="both"/>
        <w:rPr>
          <w:rFonts w:ascii="Times New Roman" w:eastAsia="標楷體" w:hAnsi="Times New Roman" w:cs="Times New Roman"/>
        </w:rPr>
      </w:pPr>
      <w:r w:rsidRPr="002708E3">
        <w:rPr>
          <w:rFonts w:ascii="Times New Roman" w:eastAsia="標楷體" w:hAnsi="Times New Roman" w:cs="Times New Roman"/>
          <w:b/>
          <w:bCs/>
        </w:rPr>
        <w:t>關鍵詞</w:t>
      </w:r>
      <w:r w:rsidRPr="002708E3">
        <w:rPr>
          <w:rFonts w:ascii="Times New Roman" w:eastAsia="標楷體" w:hAnsi="Times New Roman" w:cs="Times New Roman"/>
        </w:rPr>
        <w:t>：三高疾病、高血壓、高血糖、高血脂、機器學習、縱向資料、變化量特徵、</w:t>
      </w:r>
      <w:r w:rsidRPr="002708E3">
        <w:rPr>
          <w:rFonts w:ascii="Times New Roman" w:eastAsia="標楷體" w:hAnsi="Times New Roman" w:cs="Times New Roman"/>
        </w:rPr>
        <w:t xml:space="preserve">SHAP </w:t>
      </w:r>
      <w:r w:rsidRPr="002708E3">
        <w:rPr>
          <w:rFonts w:ascii="Times New Roman" w:eastAsia="標楷體" w:hAnsi="Times New Roman" w:cs="Times New Roman"/>
        </w:rPr>
        <w:t>可解釋性、符號回歸</w:t>
      </w:r>
      <w:bookmarkEnd w:id="1"/>
    </w:p>
    <w:p w14:paraId="6EFDA86C" w14:textId="7A091C0E" w:rsidR="002A53B1" w:rsidRDefault="002A53B1">
      <w:pPr>
        <w:spacing w:after="0"/>
      </w:pPr>
      <w:r>
        <w:br w:type="page"/>
      </w:r>
    </w:p>
    <w:p w14:paraId="0FCBA354" w14:textId="77777777" w:rsidR="002A53B1" w:rsidRPr="001F7062" w:rsidRDefault="002A53B1" w:rsidP="002A53B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abstract"/>
      <w:r w:rsidRPr="001F706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Abstract</w:t>
      </w:r>
    </w:p>
    <w:p w14:paraId="12459334" w14:textId="77777777" w:rsidR="002A53B1" w:rsidRDefault="002A53B1" w:rsidP="002A53B1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1F7062">
        <w:rPr>
          <w:rFonts w:ascii="Times New Roman" w:hAnsi="Times New Roman" w:cs="Times New Roman"/>
          <w:b/>
          <w:bCs/>
        </w:rPr>
        <w:t>Title</w:t>
      </w:r>
      <w:r w:rsidRPr="001F7062">
        <w:rPr>
          <w:rFonts w:ascii="Times New Roman" w:hAnsi="Times New Roman" w:cs="Times New Roman"/>
        </w:rPr>
        <w:t>: Predicting Hypertension, Hyperglycemia, and Dyslipidemia Using Longitudinal Health Checkup Data with Delta Features: A Multi-Model Comparative Study</w:t>
      </w:r>
    </w:p>
    <w:p w14:paraId="122CE286" w14:textId="77777777" w:rsidR="002A53B1" w:rsidRPr="001F7062" w:rsidRDefault="002A53B1" w:rsidP="002A53B1">
      <w:pPr>
        <w:pStyle w:val="a0"/>
        <w:spacing w:line="360" w:lineRule="auto"/>
        <w:rPr>
          <w:rFonts w:eastAsia="DengXian"/>
        </w:rPr>
      </w:pPr>
    </w:p>
    <w:p w14:paraId="5EFADDBC" w14:textId="77777777" w:rsidR="002A53B1" w:rsidRPr="001F7062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Times New Roman" w:eastAsia="DengXian" w:hAnsi="Times New Roman" w:cs="Times New Roman"/>
        </w:rPr>
      </w:pPr>
      <w:r w:rsidRPr="001F7062">
        <w:rPr>
          <w:rFonts w:ascii="Times New Roman" w:hAnsi="Times New Roman" w:cs="Times New Roman"/>
        </w:rPr>
        <w:t>Hypertension, hyperglycemia, and dyslipidemia—collectively known as the "three highs"—are major chronic diseases and key modifiable risk factors for cardiovascular disease. Conventional risk assessment methods rely on single-timepoint data, failing to capture the dynamic health trajectories embedded in longitudinal records.</w:t>
      </w:r>
    </w:p>
    <w:p w14:paraId="591951D5" w14:textId="77777777" w:rsidR="002A53B1" w:rsidRPr="001F7062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Times New Roman" w:eastAsia="DengXian" w:hAnsi="Times New Roman" w:cs="Times New Roman"/>
        </w:rPr>
      </w:pPr>
      <w:r w:rsidRPr="001F7062">
        <w:rPr>
          <w:rFonts w:ascii="Times New Roman" w:hAnsi="Times New Roman" w:cs="Times New Roman"/>
        </w:rPr>
        <w:t xml:space="preserve">We utilized a publicly available longitudinal dataset (Luo et al., 2024) comprising 6,056 adults aged 40+ followed from 2010 to 2018. A three-timepoint design (Y-2, Y-1, Y0) was adopted, using health indicators and delta features (Δ) to predict disease status. A sliding window approach generated 13,514 records. Eight models (traditional statistics, tree-based, SVM, neural network) were compared, with symbolic regression exploring interpretability. </w:t>
      </w:r>
      <w:proofErr w:type="spellStart"/>
      <w:r w:rsidRPr="001F7062">
        <w:rPr>
          <w:rFonts w:ascii="Times New Roman" w:hAnsi="Times New Roman" w:cs="Times New Roman"/>
        </w:rPr>
        <w:t>StratifiedGroupKFold</w:t>
      </w:r>
      <w:proofErr w:type="spellEnd"/>
      <w:r w:rsidRPr="001F7062">
        <w:rPr>
          <w:rFonts w:ascii="Times New Roman" w:hAnsi="Times New Roman" w:cs="Times New Roman"/>
        </w:rPr>
        <w:t xml:space="preserve"> 5-fold cross-validation ensured no data leakage.</w:t>
      </w:r>
    </w:p>
    <w:p w14:paraId="3B653EBB" w14:textId="77777777" w:rsidR="002A53B1" w:rsidRPr="001F7062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Times New Roman" w:eastAsia="DengXian" w:hAnsi="Times New Roman" w:cs="Times New Roman"/>
        </w:rPr>
      </w:pPr>
      <w:r w:rsidRPr="001F7062">
        <w:rPr>
          <w:rFonts w:ascii="Times New Roman" w:hAnsi="Times New Roman" w:cs="Times New Roman"/>
        </w:rPr>
        <w:t>Key findings: (1) Logistic Regression achieved AUC 0.938 for hyperglycemia; (2) Δ features improved AUC by 1.5%–2.3% and comprised 30–50% of top 10 features; (3) SHAP revealed disease-specific predictors; (4) symbolic regression achieved AUC 0.943 with a minimal formula; (5) more checkup records improved performance; (6) top 5 features showed &lt;0.5% AUC decrease.</w:t>
      </w:r>
    </w:p>
    <w:p w14:paraId="36246A6B" w14:textId="77777777" w:rsidR="002A53B1" w:rsidRDefault="002A53B1" w:rsidP="002A53B1">
      <w:pPr>
        <w:pStyle w:val="a0"/>
        <w:spacing w:before="0" w:after="0" w:line="360" w:lineRule="auto"/>
        <w:ind w:firstLineChars="200" w:firstLine="480"/>
        <w:jc w:val="both"/>
        <w:rPr>
          <w:rFonts w:ascii="Times New Roman" w:hAnsi="Times New Roman" w:cs="Times New Roman"/>
        </w:rPr>
      </w:pPr>
      <w:r w:rsidRPr="001F7062">
        <w:rPr>
          <w:rFonts w:ascii="Times New Roman" w:hAnsi="Times New Roman" w:cs="Times New Roman"/>
        </w:rPr>
        <w:t>This study demonstrates that longitudinal health checkup data with simple feature engineering can achieve clinically useful predictions, suitable for early warning systems in primary healthcare.</w:t>
      </w:r>
    </w:p>
    <w:p w14:paraId="2E136696" w14:textId="77777777" w:rsidR="002A53B1" w:rsidRPr="001F7062" w:rsidRDefault="002A53B1" w:rsidP="002A53B1">
      <w:pPr>
        <w:pStyle w:val="a0"/>
        <w:spacing w:line="360" w:lineRule="auto"/>
        <w:jc w:val="both"/>
        <w:rPr>
          <w:rFonts w:ascii="Times New Roman" w:hAnsi="Times New Roman" w:cs="Times New Roman"/>
        </w:rPr>
      </w:pPr>
      <w:r w:rsidRPr="001F7062">
        <w:rPr>
          <w:rFonts w:ascii="Times New Roman" w:hAnsi="Times New Roman" w:cs="Times New Roman"/>
          <w:b/>
          <w:bCs/>
        </w:rPr>
        <w:t>Keywords</w:t>
      </w:r>
      <w:r w:rsidRPr="001F7062">
        <w:rPr>
          <w:rFonts w:ascii="Times New Roman" w:hAnsi="Times New Roman" w:cs="Times New Roman"/>
        </w:rPr>
        <w:t>: Hypertension, Hyperglycemia, Dyslipidemia, Machine Learning, Longitudinal Data, Delta Features, SHAP Interpretability, Symbolic Regression</w:t>
      </w:r>
      <w:bookmarkEnd w:id="2"/>
    </w:p>
    <w:p w14:paraId="4A8641D7" w14:textId="77777777" w:rsidR="0085668F" w:rsidRPr="002A53B1" w:rsidRDefault="0085668F"/>
    <w:sectPr w:rsidR="0085668F" w:rsidRPr="002A53B1" w:rsidSect="007A4817">
      <w:footerReference w:type="default" r:id="rId4"/>
      <w:footnotePr>
        <w:numRestart w:val="eachSect"/>
      </w:footnotePr>
      <w:pgSz w:w="12240" w:h="15840"/>
      <w:pgMar w:top="1701" w:right="1701" w:bottom="1134" w:left="1701" w:header="720" w:footer="720" w:gutter="0"/>
      <w:pgNumType w:fmt="lowerRoman"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646855"/>
      <w:docPartObj>
        <w:docPartGallery w:val="Page Numbers (Bottom of Page)"/>
        <w:docPartUnique/>
      </w:docPartObj>
    </w:sdtPr>
    <w:sdtEndPr/>
    <w:sdtContent>
      <w:p w14:paraId="1EF38FAE" w14:textId="77777777" w:rsidR="00CE59A3" w:rsidRDefault="002A53B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00DBD1AB" w14:textId="77777777" w:rsidR="00CE59A3" w:rsidRDefault="002A53B1">
    <w:pPr>
      <w:pStyle w:val="a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numRestart w:val="eachSect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03"/>
    <w:rsid w:val="002A53B1"/>
    <w:rsid w:val="003C1203"/>
    <w:rsid w:val="0085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3B9F4-EB3B-4FC3-B399-A6BBC8AE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3B1"/>
    <w:pPr>
      <w:spacing w:after="200"/>
    </w:pPr>
    <w:rPr>
      <w:kern w:val="0"/>
      <w:szCs w:val="24"/>
      <w:lang w:eastAsia="zh-CN"/>
    </w:rPr>
  </w:style>
  <w:style w:type="paragraph" w:styleId="1">
    <w:name w:val="heading 1"/>
    <w:basedOn w:val="a"/>
    <w:next w:val="a0"/>
    <w:link w:val="10"/>
    <w:uiPriority w:val="9"/>
    <w:qFormat/>
    <w:rsid w:val="002A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2A53B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zh-CN"/>
    </w:rPr>
  </w:style>
  <w:style w:type="paragraph" w:styleId="a0">
    <w:name w:val="Body Text"/>
    <w:basedOn w:val="a"/>
    <w:link w:val="a4"/>
    <w:qFormat/>
    <w:rsid w:val="002A53B1"/>
    <w:pPr>
      <w:spacing w:before="180" w:after="180"/>
    </w:pPr>
  </w:style>
  <w:style w:type="character" w:customStyle="1" w:styleId="a4">
    <w:name w:val="本文 字元"/>
    <w:basedOn w:val="a1"/>
    <w:link w:val="a0"/>
    <w:rsid w:val="002A53B1"/>
    <w:rPr>
      <w:kern w:val="0"/>
      <w:szCs w:val="24"/>
      <w:lang w:eastAsia="zh-CN"/>
    </w:rPr>
  </w:style>
  <w:style w:type="paragraph" w:customStyle="1" w:styleId="FirstParagraph">
    <w:name w:val="First Paragraph"/>
    <w:basedOn w:val="a0"/>
    <w:next w:val="a0"/>
    <w:qFormat/>
    <w:rsid w:val="002A53B1"/>
  </w:style>
  <w:style w:type="paragraph" w:styleId="a5">
    <w:name w:val="footer"/>
    <w:basedOn w:val="a"/>
    <w:link w:val="a6"/>
    <w:uiPriority w:val="99"/>
    <w:unhideWhenUsed/>
    <w:rsid w:val="002A53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1"/>
    <w:link w:val="a5"/>
    <w:uiPriority w:val="99"/>
    <w:rsid w:val="002A53B1"/>
    <w:rPr>
      <w:kern w:val="0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 me Maybe</dc:creator>
  <cp:keywords/>
  <dc:description/>
  <cp:lastModifiedBy>Call me Maybe</cp:lastModifiedBy>
  <cp:revision>2</cp:revision>
  <dcterms:created xsi:type="dcterms:W3CDTF">2026-02-13T14:19:00Z</dcterms:created>
  <dcterms:modified xsi:type="dcterms:W3CDTF">2026-02-13T14:21:00Z</dcterms:modified>
</cp:coreProperties>
</file>