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3.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參考文獻"/>
    <w:p>
      <w:pPr>
        <w:pStyle w:val="1"/>
      </w:pPr>
      <w:r>
        <w:rPr>
          <w:rFonts w:hint="eastAsia"/>
        </w:rPr>
        <w:t xml:space="preserve">參考文獻</w:t>
      </w:r>
    </w:p>
    <w:bookmarkStart w:id="17" w:name="英文文獻"/>
    <w:p>
      <w:pPr>
        <w:pStyle w:val="2"/>
      </w:pPr>
      <w:r>
        <w:rPr>
          <w:rFonts w:hint="eastAsia"/>
        </w:rPr>
        <w:t xml:space="preserve">英文文獻</w:t>
      </w:r>
    </w:p>
    <w:p>
      <w:pPr>
        <w:pStyle w:val="FirstParagraph"/>
      </w:pPr>
      <w:r>
        <w:t xml:space="preserve">Alaa, A. M., Bolton, T., Di Angelantonio, E., Rudd, J. H. F., &amp; van der Schaar, M. (2019). Cardiovascular disease risk prediction using automated machine learning: A prospective study of 423,604 UK Biobank participants.</w:t>
      </w:r>
      <w:r>
        <w:t xml:space="preserve"> </w:t>
      </w:r>
      <w:r>
        <w:rPr>
          <w:i/>
          <w:iCs/>
        </w:rPr>
        <w:t xml:space="preserve">PLoS ONE</w:t>
      </w:r>
      <w:r>
        <w:t xml:space="preserve">,</w:t>
      </w:r>
      <w:r>
        <w:t xml:space="preserve"> </w:t>
      </w:r>
      <w:r>
        <w:rPr>
          <w:i/>
          <w:iCs/>
        </w:rPr>
        <w:t xml:space="preserve">14</w:t>
      </w:r>
      <w:r>
        <w:t xml:space="preserve">(5), e0213653. https://doi.org/10.1371/journal.pone.0213653</w:t>
      </w:r>
    </w:p>
    <w:p>
      <w:pPr>
        <w:pStyle w:val="a0"/>
      </w:pPr>
      <w:r>
        <w:t xml:space="preserve">Alberti, K. G. M. M., Eckel, R. H., Grundy, S. M., Zimmet, P. Z., Cleeman, J. I., Donato, K. A., Fruchart, J.-C., James, W. P. T., Loria, C. M., &amp; Smith, S. C., Jr. (2009).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w:t>
      </w:r>
      <w:r>
        <w:t xml:space="preserve"> </w:t>
      </w:r>
      <w:r>
        <w:rPr>
          <w:i/>
          <w:iCs/>
        </w:rPr>
        <w:t xml:space="preserve">Circulation</w:t>
      </w:r>
      <w:r>
        <w:t xml:space="preserve">,</w:t>
      </w:r>
      <w:r>
        <w:t xml:space="preserve"> </w:t>
      </w:r>
      <w:r>
        <w:rPr>
          <w:i/>
          <w:iCs/>
        </w:rPr>
        <w:t xml:space="preserve">120</w:t>
      </w:r>
      <w:r>
        <w:t xml:space="preserve">(16), 1640–1645. https://doi.org/10.1161/CIRCULATIONAHA.109.192644</w:t>
      </w:r>
    </w:p>
    <w:p>
      <w:pPr>
        <w:pStyle w:val="a0"/>
      </w:pPr>
      <w:r>
        <w:t xml:space="preserve">American Diabetes Association. (2025). Standards of care in diabetes—2025.</w:t>
      </w:r>
      <w:r>
        <w:t xml:space="preserve"> </w:t>
      </w:r>
      <w:r>
        <w:rPr>
          <w:i/>
          <w:iCs/>
        </w:rPr>
        <w:t xml:space="preserve">Diabetes Care</w:t>
      </w:r>
      <w:r>
        <w:t xml:space="preserve">,</w:t>
      </w:r>
      <w:r>
        <w:t xml:space="preserve"> </w:t>
      </w:r>
      <w:r>
        <w:rPr>
          <w:i/>
          <w:iCs/>
        </w:rPr>
        <w:t xml:space="preserve">48</w:t>
      </w:r>
      <w:r>
        <w:t xml:space="preserve">(Suppl 1).</w:t>
      </w:r>
    </w:p>
    <w:p>
      <w:pPr>
        <w:pStyle w:val="a0"/>
      </w:pPr>
      <w:r>
        <w:t xml:space="preserve">Chawla, N. V., Bowyer, K. W., Hall, L. O., &amp; Kegelmeyer, W. P. (2002). SMOTE: Synthetic minority over-sampling technique.</w:t>
      </w:r>
      <w:r>
        <w:t xml:space="preserve"> </w:t>
      </w:r>
      <w:r>
        <w:rPr>
          <w:i/>
          <w:iCs/>
        </w:rPr>
        <w:t xml:space="preserve">Journal of Artificial Intelligence Research</w:t>
      </w:r>
      <w:r>
        <w:t xml:space="preserve">,</w:t>
      </w:r>
      <w:r>
        <w:t xml:space="preserve"> </w:t>
      </w:r>
      <w:r>
        <w:rPr>
          <w:i/>
          <w:iCs/>
        </w:rPr>
        <w:t xml:space="preserve">16</w:t>
      </w:r>
      <w:r>
        <w:t xml:space="preserve">, 321–357. https://doi.org/10.1613/jair.953</w:t>
      </w:r>
    </w:p>
    <w:p>
      <w:pPr>
        <w:pStyle w:val="a0"/>
      </w:pPr>
      <w:r>
        <w:t xml:space="preserve">Cranmer, M. (2023). Interpretable machine learning for science with PySR and SymbolicRegression.jl.</w:t>
      </w:r>
      <w:r>
        <w:t xml:space="preserve"> </w:t>
      </w:r>
      <w:r>
        <w:rPr>
          <w:i/>
          <w:iCs/>
        </w:rPr>
        <w:t xml:space="preserve">arXiv</w:t>
      </w:r>
      <w:r>
        <w:t xml:space="preserve">. https://doi.org/10.48550/arXiv.2305.01582</w:t>
      </w:r>
    </w:p>
    <w:p>
      <w:pPr>
        <w:pStyle w:val="a0"/>
      </w:pPr>
      <w:r>
        <w:t xml:space="preserve">Dinh, A., Miertschin, S., Young, A., &amp; Mohanty, S. D. (2019). A data-driven approach to predicting diabetes and cardiovascular disease with machine learning.</w:t>
      </w:r>
      <w:r>
        <w:t xml:space="preserve"> </w:t>
      </w:r>
      <w:r>
        <w:rPr>
          <w:i/>
          <w:iCs/>
        </w:rPr>
        <w:t xml:space="preserve">BMC Medical Informatics and Decision Making</w:t>
      </w:r>
      <w:r>
        <w:t xml:space="preserve">,</w:t>
      </w:r>
      <w:r>
        <w:t xml:space="preserve"> </w:t>
      </w:r>
      <w:r>
        <w:rPr>
          <w:i/>
          <w:iCs/>
        </w:rPr>
        <w:t xml:space="preserve">19</w:t>
      </w:r>
      <w:r>
        <w:t xml:space="preserve">(1), 211. https://doi.org/10.1186/s12911-019-0918-5</w:t>
      </w:r>
    </w:p>
    <w:p>
      <w:pPr>
        <w:pStyle w:val="a0"/>
      </w:pPr>
      <w:r>
        <w:t xml:space="preserve">Fisher, R. A. (1936). The use of multiple measurements in taxonomic problems.</w:t>
      </w:r>
      <w:r>
        <w:t xml:space="preserve"> </w:t>
      </w:r>
      <w:r>
        <w:rPr>
          <w:i/>
          <w:iCs/>
        </w:rPr>
        <w:t xml:space="preserve">Annals of Eugenics</w:t>
      </w:r>
      <w:r>
        <w:t xml:space="preserve">,</w:t>
      </w:r>
      <w:r>
        <w:t xml:space="preserve"> </w:t>
      </w:r>
      <w:r>
        <w:rPr>
          <w:i/>
          <w:iCs/>
        </w:rPr>
        <w:t xml:space="preserve">7</w:t>
      </w:r>
      <w:r>
        <w:t xml:space="preserve">(2), 179–188. https://doi.org/10.1111/j.1469-1809.1936.tb02137.x</w:t>
      </w:r>
    </w:p>
    <w:p>
      <w:pPr>
        <w:pStyle w:val="a0"/>
      </w:pPr>
      <w:r>
        <w:t xml:space="preserve">He, H., &amp; Garcia, E. A. (2009). Learning from imbalanced data.</w:t>
      </w:r>
      <w:r>
        <w:t xml:space="preserve"> </w:t>
      </w:r>
      <w:r>
        <w:rPr>
          <w:i/>
          <w:iCs/>
        </w:rPr>
        <w:t xml:space="preserve">IEEE Transactions on Knowledge and Data Engineering</w:t>
      </w:r>
      <w:r>
        <w:t xml:space="preserve">,</w:t>
      </w:r>
      <w:r>
        <w:t xml:space="preserve"> </w:t>
      </w:r>
      <w:r>
        <w:rPr>
          <w:i/>
          <w:iCs/>
        </w:rPr>
        <w:t xml:space="preserve">21</w:t>
      </w:r>
      <w:r>
        <w:t xml:space="preserve">(9), 1263–1284. https://doi.org/10.1109/TKDE.2008.239</w:t>
      </w:r>
    </w:p>
    <w:p>
      <w:pPr>
        <w:pStyle w:val="a0"/>
      </w:pPr>
      <w:r>
        <w:t xml:space="preserve">Hung, M.-H., Shih, L.-C., Wang, Y.-C., Leu, H.-B., Huang, P.-H., Wu, T.-C., Lin, S.-J., Pan, W.-H., Chen, J.-W., &amp; Huang, C.-C. (2021). Prediction of masked hypertension and masked uncontrolled hypertension using machine learning.</w:t>
      </w:r>
      <w:r>
        <w:t xml:space="preserve"> </w:t>
      </w:r>
      <w:r>
        <w:rPr>
          <w:i/>
          <w:iCs/>
        </w:rPr>
        <w:t xml:space="preserve">Frontiers in Cardiovascular Medicine</w:t>
      </w:r>
      <w:r>
        <w:t xml:space="preserve">,</w:t>
      </w:r>
      <w:r>
        <w:t xml:space="preserve"> </w:t>
      </w:r>
      <w:r>
        <w:rPr>
          <w:i/>
          <w:iCs/>
        </w:rPr>
        <w:t xml:space="preserve">8</w:t>
      </w:r>
      <w:r>
        <w:t xml:space="preserve">, 778306. https://doi.org/10.3389/fcvm.2021.778306</w:t>
      </w:r>
    </w:p>
    <w:p>
      <w:pPr>
        <w:pStyle w:val="a0"/>
      </w:pPr>
      <w:r>
        <w:t xml:space="preserve">James, P. A., Oparil, S., Carter, B. L., Cushman, W. C., Dennison-Himmelfarb, C., Handler, J., Lackland, D. T., LeFevre, M. L., MacKenzie, T. D., Ogedegbe, O., Smith, S. C., Jr., Svetkey, L. P., Taler, S. J., Townsend, R. R., Wright, J. T., Jr., Narva, A. S., &amp; Ortiz, E. (2014). 2014 evidence-based guideline for the management of high blood pressure in adults: Report from the panel members appointed to the Eighth Joint National Committee (JNC 8).</w:t>
      </w:r>
      <w:r>
        <w:t xml:space="preserve"> </w:t>
      </w:r>
      <w:r>
        <w:rPr>
          <w:i/>
          <w:iCs/>
        </w:rPr>
        <w:t xml:space="preserve">JAMA</w:t>
      </w:r>
      <w:r>
        <w:t xml:space="preserve">,</w:t>
      </w:r>
      <w:r>
        <w:t xml:space="preserve"> </w:t>
      </w:r>
      <w:r>
        <w:rPr>
          <w:i/>
          <w:iCs/>
        </w:rPr>
        <w:t xml:space="preserve">311</w:t>
      </w:r>
      <w:r>
        <w:t xml:space="preserve">(5), 507–520. https://doi.org/10.1001/jama.2013.284427</w:t>
      </w:r>
    </w:p>
    <w:p>
      <w:pPr>
        <w:pStyle w:val="a0"/>
      </w:pPr>
      <w:r>
        <w:t xml:space="preserve">Kanegae, H., Suzuki, K., Fukatani, K., Ito, T., Harada, N., &amp; Kario, K. (2020). Highly precise risk prediction model for new-onset hypertension using artificial intelligence techniques.</w:t>
      </w:r>
      <w:r>
        <w:t xml:space="preserve"> </w:t>
      </w:r>
      <w:r>
        <w:rPr>
          <w:i/>
          <w:iCs/>
        </w:rPr>
        <w:t xml:space="preserve">The Journal of Clinical Hypertension</w:t>
      </w:r>
      <w:r>
        <w:t xml:space="preserve">,</w:t>
      </w:r>
      <w:r>
        <w:t xml:space="preserve"> </w:t>
      </w:r>
      <w:r>
        <w:rPr>
          <w:i/>
          <w:iCs/>
        </w:rPr>
        <w:t xml:space="preserve">22</w:t>
      </w:r>
      <w:r>
        <w:t xml:space="preserve">(3), 445–450. https://doi.org/10.1111/jch.13759</w:t>
      </w:r>
    </w:p>
    <w:p>
      <w:pPr>
        <w:pStyle w:val="a0"/>
      </w:pPr>
      <w:r>
        <w:t xml:space="preserve">Liu, Y.-Q., Chang, T.-W., Lee, L.-C., Chen, C.-Y., Hsu, P.-S., Tsan, Y.-T., Yang, C.-T., &amp; Chu, W.-M. (2024). Use of machine learning to predict the incidence of type 2 diabetes among relatively healthy adults: A 10-year longitudinal study in Taiwan.</w:t>
      </w:r>
      <w:r>
        <w:t xml:space="preserve"> </w:t>
      </w:r>
      <w:r>
        <w:rPr>
          <w:i/>
          <w:iCs/>
        </w:rPr>
        <w:t xml:space="preserve">Diagnostics</w:t>
      </w:r>
      <w:r>
        <w:t xml:space="preserve">,</w:t>
      </w:r>
      <w:r>
        <w:t xml:space="preserve"> </w:t>
      </w:r>
      <w:r>
        <w:rPr>
          <w:i/>
          <w:iCs/>
        </w:rPr>
        <w:t xml:space="preserve">15</w:t>
      </w:r>
      <w:r>
        <w:t xml:space="preserve">(1), 72. https://doi.org/10.3390/diagnostics15010072</w:t>
      </w:r>
    </w:p>
    <w:p>
      <w:pPr>
        <w:pStyle w:val="a0"/>
      </w:pPr>
      <w:r>
        <w:t xml:space="preserve">Luo, Y., Wu, Q., Meng, R., Lian, F., Jiang, C., Hu, M., Wang, Y., &amp; Ma, H. (2023). Associations of serum uric acid with cardiovascular disease risk factors [Dataset].</w:t>
      </w:r>
      <w:r>
        <w:t xml:space="preserve"> </w:t>
      </w:r>
      <w:r>
        <w:rPr>
          <w:i/>
          <w:iCs/>
        </w:rPr>
        <w:t xml:space="preserve">Dryad Digital Repository</w:t>
      </w:r>
      <w:r>
        <w:t xml:space="preserve">. https://doi.org/10.5061/dryad.z08kprrk1</w:t>
      </w:r>
    </w:p>
    <w:p>
      <w:pPr>
        <w:pStyle w:val="a0"/>
      </w:pPr>
      <w:r>
        <w:t xml:space="preserve">Luo, Y., Wu, Q., Meng, R., Lian, F., Jiang, C., Hu, M., Wang, Y., &amp; Ma, H. (2024). Associations of serum uric acid with cardiovascular disease risk factors: A retrospective cohort study in southeastern China.</w:t>
      </w:r>
      <w:r>
        <w:t xml:space="preserve"> </w:t>
      </w:r>
      <w:r>
        <w:rPr>
          <w:i/>
          <w:iCs/>
        </w:rPr>
        <w:t xml:space="preserve">BMJ Open</w:t>
      </w:r>
      <w:r>
        <w:t xml:space="preserve">,</w:t>
      </w:r>
      <w:r>
        <w:t xml:space="preserve"> </w:t>
      </w:r>
      <w:r>
        <w:rPr>
          <w:i/>
          <w:iCs/>
        </w:rPr>
        <w:t xml:space="preserve">13</w:t>
      </w:r>
      <w:r>
        <w:t xml:space="preserve">(9), e073930. https://doi.org/10.1136/bmjopen-2023-073930</w:t>
      </w:r>
    </w:p>
    <w:p>
      <w:pPr>
        <w:pStyle w:val="a0"/>
      </w:pPr>
      <w:r>
        <w:t xml:space="preserve">Majcherek, D., Ciesielski, A., &amp; Sobczak, P. (2025). AI-driven analysis of diabetes risk determinants in U.S. adults: Exploring disease prevalence and health factors.</w:t>
      </w:r>
      <w:r>
        <w:t xml:space="preserve"> </w:t>
      </w:r>
      <w:r>
        <w:rPr>
          <w:i/>
          <w:iCs/>
        </w:rPr>
        <w:t xml:space="preserve">PLoS ONE</w:t>
      </w:r>
      <w:r>
        <w:t xml:space="preserve">,</w:t>
      </w:r>
      <w:r>
        <w:t xml:space="preserve"> </w:t>
      </w:r>
      <w:r>
        <w:rPr>
          <w:i/>
          <w:iCs/>
        </w:rPr>
        <w:t xml:space="preserve">20</w:t>
      </w:r>
      <w:r>
        <w:t xml:space="preserve">(9), e0328655. https://doi.org/10.1371/journal.pone.0328655</w:t>
      </w:r>
    </w:p>
    <w:p>
      <w:pPr>
        <w:pStyle w:val="a0"/>
      </w:pPr>
      <w:r>
        <w:t xml:space="preserve">National Cholesterol Education Program (NCEP) Expert Panel on Detection, Evaluation, and Treatment of High Blood Cholesterol in Adults (Adult Treatment Panel III). (2002). Third report of the National Cholesterol Education Program (NCEP) expert panel on detection, evaluation, and treatment of high blood cholesterol in adults (Adult Treatment Panel III) final report.</w:t>
      </w:r>
      <w:r>
        <w:t xml:space="preserve"> </w:t>
      </w:r>
      <w:r>
        <w:rPr>
          <w:i/>
          <w:iCs/>
        </w:rPr>
        <w:t xml:space="preserve">Circulation</w:t>
      </w:r>
      <w:r>
        <w:t xml:space="preserve">,</w:t>
      </w:r>
      <w:r>
        <w:t xml:space="preserve"> </w:t>
      </w:r>
      <w:r>
        <w:rPr>
          <w:i/>
          <w:iCs/>
        </w:rPr>
        <w:t xml:space="preserve">106</w:t>
      </w:r>
      <w:r>
        <w:t xml:space="preserve">(25), 3143–3421. https://doi.org/10.1161/01.CIR.0000038419.01177.FA</w:t>
      </w:r>
    </w:p>
    <w:p>
      <w:pPr>
        <w:pStyle w:val="a0"/>
      </w:pPr>
      <w:r>
        <w:t xml:space="preserve">Ohira, T., &amp; Iso, H. (2013). Cardiovascular disease epidemiology in Asia: An overview.</w:t>
      </w:r>
      <w:r>
        <w:t xml:space="preserve"> </w:t>
      </w:r>
      <w:r>
        <w:rPr>
          <w:i/>
          <w:iCs/>
        </w:rPr>
        <w:t xml:space="preserve">Circulation Journal</w:t>
      </w:r>
      <w:r>
        <w:t xml:space="preserve">,</w:t>
      </w:r>
      <w:r>
        <w:t xml:space="preserve"> </w:t>
      </w:r>
      <w:r>
        <w:rPr>
          <w:i/>
          <w:iCs/>
        </w:rPr>
        <w:t xml:space="preserve">77</w:t>
      </w:r>
      <w:r>
        <w:t xml:space="preserve">(7), 1646–1652. https://doi.org/10.1253/circj.CJ-13-0702</w:t>
      </w:r>
    </w:p>
    <w:p>
      <w:pPr>
        <w:pStyle w:val="a0"/>
      </w:pPr>
      <w:r>
        <w:t xml:space="preserve">Saito, T., &amp; Rehmsmeier, M. (2015). The precision-recall plot is more informative than the ROC plot when evaluating binary classifiers on imbalanced datasets.</w:t>
      </w:r>
      <w:r>
        <w:t xml:space="preserve"> </w:t>
      </w:r>
      <w:r>
        <w:rPr>
          <w:i/>
          <w:iCs/>
        </w:rPr>
        <w:t xml:space="preserve">PLoS ONE</w:t>
      </w:r>
      <w:r>
        <w:t xml:space="preserve">,</w:t>
      </w:r>
      <w:r>
        <w:t xml:space="preserve"> </w:t>
      </w:r>
      <w:r>
        <w:rPr>
          <w:i/>
          <w:iCs/>
        </w:rPr>
        <w:t xml:space="preserve">10</w:t>
      </w:r>
      <w:r>
        <w:t xml:space="preserve">(3), e0118432. https://doi.org/10.1371/journal.pone.0118432</w:t>
      </w:r>
    </w:p>
    <w:p>
      <w:pPr>
        <w:pStyle w:val="a0"/>
      </w:pPr>
      <w:r>
        <w:t xml:space="preserve">Stanciu, S., Rusu, E., Miricescu, D., Radu, A. C., Axinia, B., Vrabie, A. M., Ionescu, R., Jinga, M., &amp; Sirbu, C. A. (2023). Links between metabolic syndrome and hypertension: The relationship with the current antidiabetic drugs.</w:t>
      </w:r>
      <w:r>
        <w:t xml:space="preserve"> </w:t>
      </w:r>
      <w:r>
        <w:rPr>
          <w:i/>
          <w:iCs/>
        </w:rPr>
        <w:t xml:space="preserve">Metabolites</w:t>
      </w:r>
      <w:r>
        <w:t xml:space="preserve">,</w:t>
      </w:r>
      <w:r>
        <w:t xml:space="preserve"> </w:t>
      </w:r>
      <w:r>
        <w:rPr>
          <w:i/>
          <w:iCs/>
        </w:rPr>
        <w:t xml:space="preserve">13</w:t>
      </w:r>
      <w:r>
        <w:t xml:space="preserve">(1), 87. https://doi.org/10.3390/metabo13010087</w:t>
      </w:r>
    </w:p>
    <w:p>
      <w:pPr>
        <w:pStyle w:val="a0"/>
      </w:pPr>
      <w:r>
        <w:t xml:space="preserve">Sun, D., Liu, J., Xiao, L., Liu, Y., Wang, Z., Li, C., Jin, Y., Zhao, Q., &amp; Wen, S. (2017). Recent development of risk-prediction models for incident hypertension: An updated systematic review.</w:t>
      </w:r>
      <w:r>
        <w:t xml:space="preserve"> </w:t>
      </w:r>
      <w:r>
        <w:rPr>
          <w:i/>
          <w:iCs/>
        </w:rPr>
        <w:t xml:space="preserve">PLoS ONE</w:t>
      </w:r>
      <w:r>
        <w:t xml:space="preserve">,</w:t>
      </w:r>
      <w:r>
        <w:t xml:space="preserve"> </w:t>
      </w:r>
      <w:r>
        <w:rPr>
          <w:i/>
          <w:iCs/>
        </w:rPr>
        <w:t xml:space="preserve">12</w:t>
      </w:r>
      <w:r>
        <w:t xml:space="preserve">(10), e0187240. https://doi.org/10.1371/journal.pone.0187240</w:t>
      </w:r>
    </w:p>
    <w:p>
      <w:pPr>
        <w:pStyle w:val="a0"/>
      </w:pPr>
      <w:r>
        <w:t xml:space="preserve">Sun, Z., &amp; Zheng, Y. (2025). Metabolic diseases in the East Asian populations.</w:t>
      </w:r>
      <w:r>
        <w:t xml:space="preserve"> </w:t>
      </w:r>
      <w:r>
        <w:rPr>
          <w:i/>
          <w:iCs/>
        </w:rPr>
        <w:t xml:space="preserve">Nature Reviews Gastroenterology &amp; Hepatology</w:t>
      </w:r>
      <w:r>
        <w:t xml:space="preserve">,</w:t>
      </w:r>
      <w:r>
        <w:t xml:space="preserve"> </w:t>
      </w:r>
      <w:r>
        <w:rPr>
          <w:i/>
          <w:iCs/>
        </w:rPr>
        <w:t xml:space="preserve">22</w:t>
      </w:r>
      <w:r>
        <w:t xml:space="preserve">(7), 500–516. https://doi.org/10.1038/s41575-025-01058-8</w:t>
      </w:r>
    </w:p>
    <w:p>
      <w:pPr>
        <w:pStyle w:val="a0"/>
      </w:pPr>
      <w:r>
        <w:t xml:space="preserve">Tsai, H., Yang, T.-W., Wu, T.-Y., Tu, Y.-C., Chen, C.-L., &amp; Chou, C.-F. (2025). Multitask learning multimodal network for chronic disease prediction.</w:t>
      </w:r>
      <w:r>
        <w:t xml:space="preserve"> </w:t>
      </w:r>
      <w:r>
        <w:rPr>
          <w:i/>
          <w:iCs/>
        </w:rPr>
        <w:t xml:space="preserve">Scientific Reports</w:t>
      </w:r>
      <w:r>
        <w:t xml:space="preserve">,</w:t>
      </w:r>
      <w:r>
        <w:t xml:space="preserve"> </w:t>
      </w:r>
      <w:r>
        <w:rPr>
          <w:i/>
          <w:iCs/>
        </w:rPr>
        <w:t xml:space="preserve">15</w:t>
      </w:r>
      <w:r>
        <w:t xml:space="preserve">(1), 15468. https://doi.org/10.1038/s41598-025-99554-z</w:t>
      </w:r>
    </w:p>
    <w:p>
      <w:pPr>
        <w:pStyle w:val="a0"/>
      </w:pPr>
      <w:r>
        <w:t xml:space="preserve">U.S. Department of Agriculture and U.S. Department of Health and Human Services. (2025).</w:t>
      </w:r>
      <w:r>
        <w:t xml:space="preserve"> </w:t>
      </w:r>
      <w:r>
        <w:rPr>
          <w:i/>
          <w:iCs/>
        </w:rPr>
        <w:t xml:space="preserve">Dietary Guidelines for Americans, 2025–2030</w:t>
      </w:r>
      <w:r>
        <w:t xml:space="preserve"> </w:t>
      </w:r>
      <w:r>
        <w:t xml:space="preserve">(10th ed.). https://www.dietaryguidelines.gov/</w:t>
      </w:r>
    </w:p>
    <w:p>
      <w:pPr>
        <w:pStyle w:val="a0"/>
      </w:pPr>
      <w:r>
        <w:t xml:space="preserve">Wang, C.-C., Chu, T.-W., &amp; Jang, J.-S. R. (2024). Next-visit prediction and prevention of hypertension using large-scale routine health checkup data.</w:t>
      </w:r>
      <w:r>
        <w:t xml:space="preserve"> </w:t>
      </w:r>
      <w:r>
        <w:rPr>
          <w:i/>
          <w:iCs/>
        </w:rPr>
        <w:t xml:space="preserve">PLoS ONE</w:t>
      </w:r>
      <w:r>
        <w:t xml:space="preserve">,</w:t>
      </w:r>
      <w:r>
        <w:t xml:space="preserve"> </w:t>
      </w:r>
      <w:r>
        <w:rPr>
          <w:i/>
          <w:iCs/>
        </w:rPr>
        <w:t xml:space="preserve">19</w:t>
      </w:r>
      <w:r>
        <w:t xml:space="preserve">(11), e0313658. https://doi.org/10.1371/journal.pone.0313658</w:t>
      </w:r>
    </w:p>
    <w:p>
      <w:pPr>
        <w:pStyle w:val="a0"/>
      </w:pPr>
      <w:r>
        <w:t xml:space="preserve">World Health Organization. (2023).</w:t>
      </w:r>
      <w:r>
        <w:t xml:space="preserve"> </w:t>
      </w:r>
      <w:r>
        <w:rPr>
          <w:i/>
          <w:iCs/>
        </w:rPr>
        <w:t xml:space="preserve">Global report on hypertension: The race against a silent killer</w:t>
      </w:r>
      <w:r>
        <w:t xml:space="preserve">. WHO. https://www.who.int/publications/i/item/9789240081348</w:t>
      </w:r>
    </w:p>
    <w:p>
      <w:pPr>
        <w:pStyle w:val="a0"/>
      </w:pPr>
      <w:r>
        <w:t xml:space="preserve">World Heart Federation. (2023).</w:t>
      </w:r>
      <w:r>
        <w:t xml:space="preserve"> </w:t>
      </w:r>
      <w:r>
        <w:rPr>
          <w:i/>
          <w:iCs/>
        </w:rPr>
        <w:t xml:space="preserve">World Heart Report 2023: Confronting the world’s number one killer</w:t>
      </w:r>
      <w:r>
        <w:t xml:space="preserve">. WHF. https://world-heart-federation.org/world-heart-report-2023/</w:t>
      </w:r>
    </w:p>
    <w:p>
      <w:pPr>
        <w:pStyle w:val="a0"/>
      </w:pPr>
      <w:r>
        <w:t xml:space="preserve">Yang, C.-C., Wu, S.-T., Chu, T.-W., Liu, C.-H., &amp; Chuang, Y.-J. (2025). Dual machine learning framework for predicting long-term glycemic change and prediabetes risk in young Taiwanese men.</w:t>
      </w:r>
      <w:r>
        <w:t xml:space="preserve"> </w:t>
      </w:r>
      <w:r>
        <w:rPr>
          <w:i/>
          <w:iCs/>
        </w:rPr>
        <w:t xml:space="preserve">Diagnostics</w:t>
      </w:r>
      <w:r>
        <w:t xml:space="preserve">,</w:t>
      </w:r>
      <w:r>
        <w:t xml:space="preserve"> </w:t>
      </w:r>
      <w:r>
        <w:rPr>
          <w:i/>
          <w:iCs/>
        </w:rPr>
        <w:t xml:space="preserve">15</w:t>
      </w:r>
      <w:r>
        <w:t xml:space="preserve">(19), 2507. https://doi.org/10.3390/diagnostics15192507</w:t>
      </w:r>
    </w:p>
    <w:p>
      <w:pPr>
        <w:pStyle w:val="a0"/>
      </w:pPr>
      <w:r>
        <w:t xml:space="preserve">Ye, C., Fu, T., Hao, S., Zhang, Y., Wang, O., Jin, B., Xia, M., Liu, M., Zhou, X., Wu, Q., Guo, Y., Zhu, C., Li, Y., Culver, D. S., Alfreds, S. T., Stearns, F., Sylvester, K. G., Widen, E., McElhinney, D., &amp; Ling, X. (2018). Prediction of incident hypertension within the next year: Prospective study using statewide electronic health records and machine learning.</w:t>
      </w:r>
      <w:r>
        <w:t xml:space="preserve"> </w:t>
      </w:r>
      <w:r>
        <w:rPr>
          <w:i/>
          <w:iCs/>
        </w:rPr>
        <w:t xml:space="preserve">Journal of Medical Internet Research</w:t>
      </w:r>
      <w:r>
        <w:t xml:space="preserve">,</w:t>
      </w:r>
      <w:r>
        <w:t xml:space="preserve"> </w:t>
      </w:r>
      <w:r>
        <w:rPr>
          <w:i/>
          <w:iCs/>
        </w:rPr>
        <w:t xml:space="preserve">20</w:t>
      </w:r>
      <w:r>
        <w:t xml:space="preserve">(1), e22. https://doi.org/10.2196/jmir.9268</w:t>
      </w:r>
    </w:p>
    <w:p>
      <w:pPr>
        <w:pStyle w:val="a0"/>
      </w:pPr>
      <w:r>
        <w:t xml:space="preserve">Zhao, D. (2021). Epidemiological features of cardiovascular disease in Asia.</w:t>
      </w:r>
      <w:r>
        <w:t xml:space="preserve"> </w:t>
      </w:r>
      <w:r>
        <w:rPr>
          <w:i/>
          <w:iCs/>
        </w:rPr>
        <w:t xml:space="preserve">JACC: Asia</w:t>
      </w:r>
      <w:r>
        <w:t xml:space="preserve">,</w:t>
      </w:r>
      <w:r>
        <w:t xml:space="preserve"> </w:t>
      </w:r>
      <w:r>
        <w:rPr>
          <w:i/>
          <w:iCs/>
        </w:rPr>
        <w:t xml:space="preserve">1</w:t>
      </w:r>
      <w:r>
        <w:t xml:space="preserve">(1), 1–13. https://doi.org/10.1016/j.jacasi.2021.04.007</w:t>
      </w:r>
    </w:p>
    <w:bookmarkEnd w:id="17"/>
    <w:bookmarkStart w:id="18" w:name="中文文獻"/>
    <w:p>
      <w:pPr>
        <w:pStyle w:val="2"/>
      </w:pPr>
      <w:r>
        <w:rPr>
          <w:rFonts w:hint="eastAsia"/>
        </w:rPr>
        <w:t xml:space="preserve">中文文獻</w:t>
      </w:r>
    </w:p>
    <w:p>
      <w:pPr>
        <w:pStyle w:val="FirstParagraph"/>
      </w:pPr>
      <w:r>
        <w:rPr>
          <w:rFonts w:hint="eastAsia"/>
        </w:rPr>
        <w:t xml:space="preserve">國民健康署（2022）。</w:t>
      </w:r>
      <w:r>
        <w:rPr>
          <w:i/>
          <w:iCs/>
        </w:rPr>
        <w:t xml:space="preserve">2017–2020 </w:t>
      </w:r>
      <w:r>
        <w:rPr>
          <w:rFonts w:hint="eastAsia"/>
          <w:i/>
          <w:iCs/>
        </w:rPr>
        <w:t xml:space="preserve">國民營養健康狀況變遷調查</w:t>
      </w:r>
      <w:r>
        <w:rPr>
          <w:rFonts w:hint="eastAsia"/>
        </w:rPr>
        <w:t xml:space="preserve">。衛生福利部。https://www.hpa.gov.tw/Pages/Detail.aspx?nodeid=3999&amp;pid=15562</w:t>
      </w:r>
    </w:p>
    <w:p>
      <w:pPr>
        <w:pStyle w:val="a0"/>
      </w:pPr>
      <w:r>
        <w:rPr>
          <w:rFonts w:hint="eastAsia"/>
        </w:rPr>
        <w:t xml:space="preserve">國民健康署（2025）。</w:t>
      </w:r>
      <w:r>
        <w:rPr>
          <w:rFonts w:hint="eastAsia"/>
          <w:i/>
          <w:iCs/>
        </w:rPr>
        <w:t xml:space="preserve">成人預防保健服務擴大至</w:t>
      </w:r>
      <w:r>
        <w:rPr>
          <w:i/>
          <w:iCs/>
        </w:rPr>
        <w:t xml:space="preserve"> 30 </w:t>
      </w:r>
      <w:r>
        <w:rPr>
          <w:rFonts w:hint="eastAsia"/>
          <w:i/>
          <w:iCs/>
        </w:rPr>
        <w:t xml:space="preserve">歲公告</w:t>
      </w:r>
      <w:r>
        <w:rPr>
          <w:rFonts w:hint="eastAsia"/>
        </w:rPr>
        <w:t xml:space="preserve">。衛生福利部。https://www.hpa.gov.tw/Pages/detail.aspx?nodeid=4878&amp;pid=18755</w:t>
      </w:r>
    </w:p>
    <w:p>
      <w:pPr>
        <w:pStyle w:val="a0"/>
      </w:pPr>
      <w:r>
        <w:rPr>
          <w:rFonts w:hint="eastAsia"/>
          <w:i/>
          <w:iCs/>
        </w:rPr>
        <w:t xml:space="preserve">備註：本文獻清單共</w:t>
      </w:r>
      <w:r>
        <w:rPr>
          <w:i/>
          <w:iCs/>
        </w:rPr>
        <w:t xml:space="preserve"> 31 </w:t>
      </w:r>
      <w:r>
        <w:rPr>
          <w:rFonts w:hint="eastAsia"/>
          <w:i/>
          <w:iCs/>
        </w:rPr>
        <w:t xml:space="preserve">筆（英文</w:t>
      </w:r>
      <w:r>
        <w:rPr>
          <w:i/>
          <w:iCs/>
        </w:rPr>
        <w:t xml:space="preserve"> 29 </w:t>
      </w:r>
      <w:r>
        <w:rPr>
          <w:rFonts w:hint="eastAsia"/>
          <w:i/>
          <w:iCs/>
        </w:rPr>
        <w:t xml:space="preserve">筆、中文</w:t>
      </w:r>
      <w:r>
        <w:rPr>
          <w:i/>
          <w:iCs/>
        </w:rPr>
        <w:t xml:space="preserve"> 2 </w:t>
      </w:r>
      <w:r>
        <w:rPr>
          <w:rFonts w:hint="eastAsia"/>
          <w:i/>
          <w:iCs/>
        </w:rPr>
        <w:t xml:space="preserve">筆），依</w:t>
      </w:r>
      <w:r>
        <w:rPr>
          <w:i/>
          <w:iCs/>
        </w:rPr>
        <w:t xml:space="preserve"> APA </w:t>
      </w:r>
      <w:r>
        <w:rPr>
          <w:rFonts w:hint="eastAsia"/>
          <w:i/>
          <w:iCs/>
        </w:rPr>
        <w:t xml:space="preserve">第七版格式排列。</w:t>
      </w:r>
    </w:p>
    <w:bookmarkEnd w:id="18"/>
    <w:bookmarkEnd w:id="19"/>
    <w:sectPr w:rsidR="00E16716" w:rsidRPr="00A2729A" w:rsidSect="000C688A">
      <w:footnotePr>
        <w:numRestart w:val="eachSect"/>
      </w:footnotePr>
      <w:pgSz w:h="15840" w:w="12240"/>
      <w:pgMar w:bottom="1418" w:footer="720" w:gutter="0" w:header="720" w:left="1701" w:right="1418" w:top="1985"/>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00A990"/>
    <w:multiLevelType w:val="multilevel"/>
    <w:tmpl w:val="A7C2594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1">
    <w:nsid w:val="0000A991"/>
    <w:multiLevelType w:val="multilevel"/>
    <w:tmpl w:val="55A042E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2">
    <w:nsid w:val="00A99411"/>
    <w:multiLevelType w:val="multilevel"/>
    <w:tmpl w:val="0936ADC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3">
    <w:nsid w:val="170CD2DE"/>
    <w:multiLevelType w:val="multilevel"/>
    <w:tmpl w:val="B534063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3"/>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
  <w:rsids>
    <w:rsidRoot w:val="0069253F"/>
    <w:rsid w:val="000C688A"/>
    <w:rsid w:val="002D44E1"/>
    <w:rsid w:val="0069253F"/>
    <w:rsid w:val="008D1BC4"/>
    <w:rsid w:val="00A2729A"/>
    <w:rsid w:val="00C73B26"/>
    <w:rsid w:val="00D70EEA"/>
    <w:rsid w:val="00E16716"/>
  </w:rsids>
  <w:themeFontLang w:eastAsia="zh-TW"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67" w:defLockedState="0" w:defQFormat="0" w:defSemiHidden="0" w:defUIPriority="0" w:defUnhideWhenUsed="0"/>
  <w:style w:default="1" w:styleId="a" w:type="paragraph">
    <w:name w:val="Normal"/>
    <w:qFormat/>
  </w:style>
  <w:style w:styleId="1" w:type="paragraph">
    <w:name w:val="heading 1"/>
    <w:basedOn w:val="a"/>
    <w:next w:val="a0"/>
    <w:link w:val="10"/>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標題 字元"/>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標題 字元"/>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標題 1 字元"/>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標題 2 字元"/>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標題 3 字元"/>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標題 4 字元"/>
    <w:basedOn w:val="a1"/>
    <w:link w:val="4"/>
    <w:uiPriority w:val="9"/>
    <w:semiHidden/>
    <w:rsid w:val="00A10FD9"/>
    <w:rPr>
      <w:rFonts w:cstheme="majorBidi" w:eastAsiaTheme="majorEastAsia"/>
      <w:i/>
      <w:iCs/>
      <w:color w:themeColor="accent1" w:themeShade="BF" w:val="0F4761"/>
    </w:rPr>
  </w:style>
  <w:style w:customStyle="1" w:styleId="50" w:type="character">
    <w:name w:val="標題 5 字元"/>
    <w:basedOn w:val="a1"/>
    <w:link w:val="5"/>
    <w:uiPriority w:val="9"/>
    <w:semiHidden/>
    <w:rsid w:val="00A10FD9"/>
    <w:rPr>
      <w:rFonts w:cstheme="majorBidi" w:eastAsiaTheme="majorEastAsia"/>
      <w:color w:themeColor="accent1" w:themeShade="BF" w:val="0F4761"/>
    </w:rPr>
  </w:style>
  <w:style w:customStyle="1" w:styleId="60" w:type="character">
    <w:name w:val="標題 6 字元"/>
    <w:basedOn w:val="a1"/>
    <w:link w:val="6"/>
    <w:uiPriority w:val="9"/>
    <w:semiHidden/>
    <w:rsid w:val="00A10FD9"/>
    <w:rPr>
      <w:rFonts w:cstheme="majorBidi" w:eastAsiaTheme="majorEastAsia"/>
      <w:i/>
      <w:iCs/>
      <w:color w:themeColor="text1" w:themeTint="A6" w:val="595959"/>
    </w:rPr>
  </w:style>
  <w:style w:customStyle="1" w:styleId="70" w:type="character">
    <w:name w:val="標題 7 字元"/>
    <w:basedOn w:val="a1"/>
    <w:link w:val="7"/>
    <w:uiPriority w:val="9"/>
    <w:semiHidden/>
    <w:rsid w:val="00A10FD9"/>
    <w:rPr>
      <w:rFonts w:cstheme="majorBidi" w:eastAsiaTheme="majorEastAsia"/>
      <w:color w:themeColor="text1" w:themeTint="A6" w:val="595959"/>
    </w:rPr>
  </w:style>
  <w:style w:customStyle="1" w:styleId="80" w:type="character">
    <w:name w:val="標題 8 字元"/>
    <w:basedOn w:val="a1"/>
    <w:link w:val="8"/>
    <w:uiPriority w:val="9"/>
    <w:semiHidden/>
    <w:rsid w:val="00A10FD9"/>
    <w:rPr>
      <w:rFonts w:cstheme="majorBidi" w:eastAsiaTheme="majorEastAsia"/>
      <w:i/>
      <w:iCs/>
      <w:color w:themeColor="text1" w:themeTint="D8" w:val="272727"/>
    </w:rPr>
  </w:style>
  <w:style w:customStyle="1" w:styleId="90" w:type="character">
    <w:name w:val="標題 9 字元"/>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標號 字元"/>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af0" w:type="paragraph">
    <w:name w:val="TOC Heading"/>
    <w:basedOn w:val="1"/>
    <w:next w:val="a0"/>
    <w:uiPriority w:val="39"/>
    <w:unhideWhenUsed/>
    <w:qFormat/>
    <w:pPr>
      <w:spacing w:before="240" w:line="259" w:lineRule="auto"/>
      <w:outlineLvl w:val="9"/>
    </w:pPr>
  </w:style>
  <w:style w:customStyle="1" w:styleId="SourceCode" w:type="paragraph">
    <w:name w:val="Source Code"/>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1" w:type="paragraph">
    <w:name w:val="Balloon Text"/>
    <w:basedOn w:val="a"/>
    <w:link w:val="af2"/>
    <w:rsid w:val="00A2729A"/>
    <w:pPr>
      <w:spacing w:after="0"/>
    </w:pPr>
    <w:rPr>
      <w:rFonts w:asciiTheme="majorHAnsi" w:cstheme="majorBidi" w:eastAsiaTheme="majorEastAsia" w:hAnsiTheme="majorHAnsi"/>
      <w:sz w:val="18"/>
      <w:szCs w:val="18"/>
    </w:rPr>
  </w:style>
  <w:style w:customStyle="1" w:styleId="af2" w:type="character">
    <w:name w:val="註解方塊文字 字元"/>
    <w:basedOn w:val="a1"/>
    <w:link w:val="af1"/>
    <w:rsid w:val="00A2729A"/>
    <w:rPr>
      <w:rFonts w:asciiTheme="majorHAnsi" w:cstheme="majorBidi" w:eastAsiaTheme="majorEastAsia" w:hAnsiTheme="maj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media/image3.png" Type="http://schemas.openxmlformats.org/officeDocument/2006/relationships/image" /><Relationship Id="rId7" Target="media/image2.png" Type="http://schemas.openxmlformats.org/officeDocument/2006/relationships/image" /><Relationship Id="rId6" Target="media/image1.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1398</Words>
  <Characters>7972</Characters>
  <Application>Microsoft Office Word</Application>
  <DocSecurity>0</DocSecurity>
  <Lines>66</Lines>
  <Paragraphs>18</Paragraphs>
  <ScaleCrop>false</ScaleCrop>
  <Company/>
  <LinksUpToDate>false</LinksUpToDate>
  <CharactersWithSpaces>9352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2026-02-10T06:59:21Z</dcterms:created>
  <dcterms:modified xsi:type="dcterms:W3CDTF">2026-02-10T06:59:21Z</dcterms:modified>
</cp:coreProperties>
</file>

<file path=docProps/custom.xml><?xml version="1.0" encoding="utf-8"?>
<Properties xmlns="http://schemas.openxmlformats.org/officeDocument/2006/custom-properties" xmlns:vt="http://schemas.openxmlformats.org/officeDocument/2006/docPropsVTypes"/>
</file>