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3DC" w:rsidRPr="00D94C81" w:rsidRDefault="00974A15" w:rsidP="00D94C81">
      <w:pPr>
        <w:pStyle w:val="1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0" w:name="第一章-緒論"/>
      <w:r w:rsidRPr="00D94C81">
        <w:rPr>
          <w:rFonts w:ascii="Times New Roman" w:eastAsia="標楷體" w:hAnsi="Times New Roman" w:cs="Times New Roman"/>
          <w:sz w:val="24"/>
          <w:szCs w:val="24"/>
        </w:rPr>
        <w:t>第一章</w:t>
      </w:r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緒論</w:t>
      </w:r>
    </w:p>
    <w:p w:rsidR="003F53DC" w:rsidRPr="00D94C81" w:rsidRDefault="00974A15" w:rsidP="00D94C81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" w:name="研究背景與動機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1.1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研究背景與動機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" w:name="三高疾病的公共衛生重要性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1.1.1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三高疾病的公共衛生重要性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三高疾病，即高血壓（</w:t>
      </w:r>
      <w:r w:rsidRPr="00D94C81">
        <w:rPr>
          <w:rFonts w:ascii="Times New Roman" w:eastAsia="標楷體" w:hAnsi="Times New Roman" w:cs="Times New Roman"/>
        </w:rPr>
        <w:t>Hypertension</w:t>
      </w:r>
      <w:r w:rsidRPr="00D94C81">
        <w:rPr>
          <w:rFonts w:ascii="Times New Roman" w:eastAsia="標楷體" w:hAnsi="Times New Roman" w:cs="Times New Roman"/>
        </w:rPr>
        <w:t>）、高血糖（</w:t>
      </w:r>
      <w:r w:rsidRPr="00D94C81">
        <w:rPr>
          <w:rFonts w:ascii="Times New Roman" w:eastAsia="標楷體" w:hAnsi="Times New Roman" w:cs="Times New Roman"/>
        </w:rPr>
        <w:t>Hyperglycemia</w:t>
      </w:r>
      <w:r w:rsidRPr="00D94C81">
        <w:rPr>
          <w:rFonts w:ascii="Times New Roman" w:eastAsia="標楷體" w:hAnsi="Times New Roman" w:cs="Times New Roman"/>
        </w:rPr>
        <w:t>）與高血脂（</w:t>
      </w:r>
      <w:r w:rsidRPr="00D94C81">
        <w:rPr>
          <w:rFonts w:ascii="Times New Roman" w:eastAsia="標楷體" w:hAnsi="Times New Roman" w:cs="Times New Roman"/>
        </w:rPr>
        <w:t>Dyslipidemia</w:t>
      </w:r>
      <w:r w:rsidRPr="00D94C81">
        <w:rPr>
          <w:rFonts w:ascii="Times New Roman" w:eastAsia="標楷體" w:hAnsi="Times New Roman" w:cs="Times New Roman"/>
        </w:rPr>
        <w:t>），是全球主要的慢性疾病，也是心血管疾病、中風、腎臟病等重大疾病的主要風險因子。根據世界心臟聯盟統計，心血管疾病每年造成約</w:t>
      </w:r>
      <w:r w:rsidRPr="00D94C81">
        <w:rPr>
          <w:rFonts w:ascii="Times New Roman" w:eastAsia="標楷體" w:hAnsi="Times New Roman" w:cs="Times New Roman"/>
        </w:rPr>
        <w:t xml:space="preserve"> 2,000 </w:t>
      </w:r>
      <w:r w:rsidRPr="00D94C81">
        <w:rPr>
          <w:rFonts w:ascii="Times New Roman" w:eastAsia="標楷體" w:hAnsi="Times New Roman" w:cs="Times New Roman"/>
        </w:rPr>
        <w:t>萬人死亡，占全球死亡人數近三分之一，其中三高是主要的可控風險因子</w:t>
      </w:r>
      <w:r w:rsidRPr="00D94C81">
        <w:rPr>
          <w:rStyle w:val="ae"/>
          <w:rFonts w:ascii="Times New Roman" w:eastAsia="標楷體" w:hAnsi="Times New Roman" w:cs="Times New Roman"/>
        </w:rPr>
        <w:footnoteReference w:id="1"/>
      </w:r>
      <w:r w:rsidRPr="00D94C81">
        <w:rPr>
          <w:rFonts w:ascii="Times New Roman" w:eastAsia="標楷體" w:hAnsi="Times New Roman" w:cs="Times New Roman"/>
        </w:rPr>
        <w:t>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亞洲地區的三高疾病負擔尤為嚴峻。根據</w:t>
      </w:r>
      <w:r w:rsidRPr="00D94C81">
        <w:rPr>
          <w:rFonts w:ascii="Times New Roman" w:eastAsia="標楷體" w:hAnsi="Times New Roman" w:cs="Times New Roman"/>
        </w:rPr>
        <w:t xml:space="preserve"> WHO 2023 </w:t>
      </w:r>
      <w:r w:rsidRPr="00D94C81">
        <w:rPr>
          <w:rFonts w:ascii="Times New Roman" w:eastAsia="標楷體" w:hAnsi="Times New Roman" w:cs="Times New Roman"/>
        </w:rPr>
        <w:t>年全球高血壓報告，西太平洋區域（涵蓋東亞與東南亞）超過四分之一的成年人患有高血壓</w:t>
      </w:r>
      <w:r w:rsidRPr="00D94C81">
        <w:rPr>
          <w:rStyle w:val="ae"/>
          <w:rFonts w:ascii="Times New Roman" w:eastAsia="標楷體" w:hAnsi="Times New Roman" w:cs="Times New Roman"/>
        </w:rPr>
        <w:footnoteReference w:id="2"/>
      </w:r>
      <w:r w:rsidRPr="00D94C81">
        <w:rPr>
          <w:rFonts w:ascii="Times New Roman" w:eastAsia="標楷體" w:hAnsi="Times New Roman" w:cs="Times New Roman"/>
        </w:rPr>
        <w:t>。在糖尿病方面，中國、日本、印尼等五個亞洲國家的糖尿病患者總數佔全球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48%</w:t>
      </w:r>
      <w:r w:rsidRPr="00D94C81">
        <w:rPr>
          <w:rFonts w:ascii="Times New Roman" w:eastAsia="標楷體" w:hAnsi="Times New Roman" w:cs="Times New Roman"/>
        </w:rPr>
        <w:t>，且各區域盛行率持續攀升</w:t>
      </w:r>
      <w:r w:rsidRPr="00D94C81">
        <w:rPr>
          <w:rStyle w:val="ae"/>
          <w:rFonts w:ascii="Times New Roman" w:eastAsia="標楷體" w:hAnsi="Times New Roman" w:cs="Times New Roman"/>
        </w:rPr>
        <w:footnoteReference w:id="3"/>
      </w:r>
      <w:r w:rsidRPr="00D94C81">
        <w:rPr>
          <w:rFonts w:ascii="Times New Roman" w:eastAsia="標楷體" w:hAnsi="Times New Roman" w:cs="Times New Roman"/>
        </w:rPr>
        <w:t>。東亞地區的代謝性疾病近數十年急遽增加，其驅動因素包括遺傳易感性、獨特的體脂分布模式，以及都市化與西化飲食的快速轉變</w:t>
      </w:r>
      <w:r w:rsidRPr="00D94C81">
        <w:rPr>
          <w:rStyle w:val="ae"/>
          <w:rFonts w:ascii="Times New Roman" w:eastAsia="標楷體" w:hAnsi="Times New Roman" w:cs="Times New Roman"/>
        </w:rPr>
        <w:footnoteReference w:id="4"/>
      </w:r>
      <w:r w:rsidRPr="00D94C81">
        <w:rPr>
          <w:rFonts w:ascii="Times New Roman" w:eastAsia="標楷體" w:hAnsi="Times New Roman" w:cs="Times New Roman"/>
        </w:rPr>
        <w:t>。值得注意的是，東亞地區的心血管死因以腦中風為主，有別於西亞以缺血性心臟病為主的模式，反映出不同區域三高疾病對心血管系統的影響路徑存在差異</w:t>
      </w:r>
      <w:r w:rsidRPr="00D94C81">
        <w:rPr>
          <w:rStyle w:val="ae"/>
          <w:rFonts w:ascii="Times New Roman" w:eastAsia="標楷體" w:hAnsi="Times New Roman" w:cs="Times New Roman"/>
        </w:rPr>
        <w:footnoteReference w:id="5"/>
      </w:r>
      <w:r w:rsidRPr="00D94C81">
        <w:rPr>
          <w:rFonts w:ascii="Times New Roman" w:eastAsia="標楷體" w:hAnsi="Times New Roman" w:cs="Times New Roman"/>
        </w:rPr>
        <w:t>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lastRenderedPageBreak/>
        <w:t>在台灣，三高疾病同樣是重要的公共衛生議題。根據衛生福利部國民健康署</w:t>
      </w:r>
      <w:r w:rsidRPr="00D94C81">
        <w:rPr>
          <w:rFonts w:ascii="Times New Roman" w:eastAsia="標楷體" w:hAnsi="Times New Roman" w:cs="Times New Roman"/>
        </w:rPr>
        <w:t xml:space="preserve"> 2017-2020 </w:t>
      </w:r>
      <w:r w:rsidRPr="00D94C81">
        <w:rPr>
          <w:rFonts w:ascii="Times New Roman" w:eastAsia="標楷體" w:hAnsi="Times New Roman" w:cs="Times New Roman"/>
        </w:rPr>
        <w:t>國民營養健康狀況變遷調查，</w:t>
      </w:r>
      <w:r w:rsidRPr="00D94C81">
        <w:rPr>
          <w:rFonts w:ascii="Times New Roman" w:eastAsia="標楷體" w:hAnsi="Times New Roman" w:cs="Times New Roman"/>
        </w:rPr>
        <w:t>40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歲以上國人高血壓盛行率為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38.3%</w:t>
      </w:r>
      <w:r w:rsidRPr="00D94C81">
        <w:rPr>
          <w:rFonts w:ascii="Times New Roman" w:eastAsia="標楷體" w:hAnsi="Times New Roman" w:cs="Times New Roman"/>
        </w:rPr>
        <w:t>、高血脂盛行率為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34.1%</w:t>
      </w:r>
      <w:r w:rsidRPr="00D94C81">
        <w:rPr>
          <w:rFonts w:ascii="Times New Roman" w:eastAsia="標楷體" w:hAnsi="Times New Roman" w:cs="Times New Roman"/>
        </w:rPr>
        <w:t>、高血糖盛行率為</w:t>
      </w:r>
      <w:r w:rsidRPr="00D94C81">
        <w:rPr>
          <w:rFonts w:ascii="Times New Roman" w:eastAsia="標楷體" w:hAnsi="Times New Roman" w:cs="Times New Roman"/>
        </w:rPr>
        <w:t xml:space="preserve"> 16.4%</w:t>
      </w:r>
      <w:r w:rsidRPr="00D94C81">
        <w:rPr>
          <w:rStyle w:val="ae"/>
          <w:rFonts w:ascii="Times New Roman" w:eastAsia="標楷體" w:hAnsi="Times New Roman" w:cs="Times New Roman"/>
        </w:rPr>
        <w:footnoteReference w:id="6"/>
      </w:r>
      <w:r w:rsidRPr="00D94C81">
        <w:rPr>
          <w:rFonts w:ascii="Times New Roman" w:eastAsia="標楷體" w:hAnsi="Times New Roman" w:cs="Times New Roman"/>
        </w:rPr>
        <w:t>。此外，約有</w:t>
      </w:r>
      <w:r w:rsidRPr="00D94C81">
        <w:rPr>
          <w:rFonts w:ascii="Times New Roman" w:eastAsia="標楷體" w:hAnsi="Times New Roman" w:cs="Times New Roman"/>
        </w:rPr>
        <w:t xml:space="preserve"> 4 </w:t>
      </w:r>
      <w:r w:rsidRPr="00D94C81">
        <w:rPr>
          <w:rFonts w:ascii="Times New Roman" w:eastAsia="標楷體" w:hAnsi="Times New Roman" w:cs="Times New Roman"/>
        </w:rPr>
        <w:t>至</w:t>
      </w:r>
      <w:r w:rsidRPr="00D94C81">
        <w:rPr>
          <w:rFonts w:ascii="Times New Roman" w:eastAsia="標楷體" w:hAnsi="Times New Roman" w:cs="Times New Roman"/>
        </w:rPr>
        <w:t xml:space="preserve"> 7 </w:t>
      </w:r>
      <w:r w:rsidRPr="00D94C81">
        <w:rPr>
          <w:rFonts w:ascii="Times New Roman" w:eastAsia="標楷體" w:hAnsi="Times New Roman" w:cs="Times New Roman"/>
        </w:rPr>
        <w:t>成民眾不知道自己已罹患三高，凸顯早期預測與篩檢的重要性</w:t>
      </w:r>
      <w:r w:rsidRPr="00D94C81">
        <w:rPr>
          <w:rStyle w:val="ae"/>
          <w:rFonts w:ascii="Times New Roman" w:eastAsia="標楷體" w:hAnsi="Times New Roman" w:cs="Times New Roman"/>
        </w:rPr>
        <w:footnoteReference w:id="7"/>
      </w:r>
      <w:r w:rsidRPr="00D94C81">
        <w:rPr>
          <w:rFonts w:ascii="Times New Roman" w:eastAsia="標楷體" w:hAnsi="Times New Roman" w:cs="Times New Roman"/>
        </w:rPr>
        <w:t>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三高疾病往往彼此相關、共同發生，此現象在醫學上被歸納為「代謝症候群（</w:t>
      </w:r>
      <w:r w:rsidRPr="00D94C81">
        <w:rPr>
          <w:rFonts w:ascii="Times New Roman" w:eastAsia="標楷體" w:hAnsi="Times New Roman" w:cs="Times New Roman"/>
        </w:rPr>
        <w:t>Metabolic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Syndrome</w:t>
      </w:r>
      <w:r w:rsidRPr="00D94C81">
        <w:rPr>
          <w:rFonts w:ascii="Times New Roman" w:eastAsia="標楷體" w:hAnsi="Times New Roman" w:cs="Times New Roman"/>
        </w:rPr>
        <w:t>）」的核心組成。研究顯示，超過</w:t>
      </w:r>
      <w:r w:rsidRPr="00D94C81">
        <w:rPr>
          <w:rFonts w:ascii="Times New Roman" w:eastAsia="標楷體" w:hAnsi="Times New Roman" w:cs="Times New Roman"/>
        </w:rPr>
        <w:t xml:space="preserve"> 70% </w:t>
      </w:r>
      <w:r w:rsidRPr="00D94C81">
        <w:rPr>
          <w:rFonts w:ascii="Times New Roman" w:eastAsia="標楷體" w:hAnsi="Times New Roman" w:cs="Times New Roman"/>
        </w:rPr>
        <w:t>的糖尿病患者同時合併高血壓或高血脂，而糖尿病患者中血脂異常的盛行率更高達</w:t>
      </w:r>
      <w:r w:rsidRPr="00D94C81">
        <w:rPr>
          <w:rFonts w:ascii="Times New Roman" w:eastAsia="標楷體" w:hAnsi="Times New Roman" w:cs="Times New Roman"/>
        </w:rPr>
        <w:t xml:space="preserve"> 72–85%</w:t>
      </w:r>
      <w:r w:rsidRPr="00D94C81">
        <w:rPr>
          <w:rStyle w:val="ae"/>
          <w:rFonts w:ascii="Times New Roman" w:eastAsia="標楷體" w:hAnsi="Times New Roman" w:cs="Times New Roman"/>
        </w:rPr>
        <w:footnoteReference w:id="8"/>
      </w:r>
      <w:r w:rsidRPr="00D94C81">
        <w:rPr>
          <w:rFonts w:ascii="Times New Roman" w:eastAsia="標楷體" w:hAnsi="Times New Roman" w:cs="Times New Roman"/>
        </w:rPr>
        <w:t>。代謝症候群患者的心血管疾病風險為一般人的</w:t>
      </w:r>
      <w:r w:rsidRPr="00D94C81">
        <w:rPr>
          <w:rFonts w:ascii="Times New Roman" w:eastAsia="標楷體" w:hAnsi="Times New Roman" w:cs="Times New Roman"/>
        </w:rPr>
        <w:t xml:space="preserve"> 2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倍，第二型糖尿病風險則為</w:t>
      </w:r>
      <w:r w:rsidRPr="00D94C81">
        <w:rPr>
          <w:rFonts w:ascii="Times New Roman" w:eastAsia="標楷體" w:hAnsi="Times New Roman" w:cs="Times New Roman"/>
        </w:rPr>
        <w:t xml:space="preserve"> 5 </w:t>
      </w:r>
      <w:r w:rsidRPr="00D94C81">
        <w:rPr>
          <w:rFonts w:ascii="Times New Roman" w:eastAsia="標楷體" w:hAnsi="Times New Roman" w:cs="Times New Roman"/>
        </w:rPr>
        <w:t>倍</w:t>
      </w:r>
      <w:r w:rsidRPr="00D94C81">
        <w:rPr>
          <w:rStyle w:val="ae"/>
          <w:rFonts w:ascii="Times New Roman" w:eastAsia="標楷體" w:hAnsi="Times New Roman" w:cs="Times New Roman"/>
        </w:rPr>
        <w:footnoteReference w:id="9"/>
      </w:r>
      <w:r w:rsidRPr="00D94C81">
        <w:rPr>
          <w:rFonts w:ascii="Times New Roman" w:eastAsia="標楷體" w:hAnsi="Times New Roman" w:cs="Times New Roman"/>
        </w:rPr>
        <w:t>。這種共病現象不僅增加了疾病管理的複雜性，也突顯了同時預測多種疾病風險的重要性。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3" w:name="早期預測與預防的臨床價值"/>
      <w:bookmarkEnd w:id="2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1.1.2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早期預測與預防的臨床價值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慢性疾病具有幾個重要的流行病學特徵：</w:t>
      </w:r>
    </w:p>
    <w:p w:rsidR="003F53DC" w:rsidRPr="00D94C81" w:rsidRDefault="00974A15" w:rsidP="00D94C81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早期症狀不明顯</w:t>
      </w:r>
      <w:r w:rsidRPr="00D94C81">
        <w:rPr>
          <w:rFonts w:ascii="Times New Roman" w:eastAsia="標楷體" w:hAnsi="Times New Roman" w:cs="Times New Roman"/>
        </w:rPr>
        <w:t>：三高疾病在初期往往沒有明顯症狀，患者經常在例行健康檢查或併發症出現時才發現</w:t>
      </w:r>
    </w:p>
    <w:p w:rsidR="003F53DC" w:rsidRPr="00D94C81" w:rsidRDefault="00974A15" w:rsidP="00D94C81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進程緩慢但可逆</w:t>
      </w:r>
      <w:r w:rsidRPr="00D94C81">
        <w:rPr>
          <w:rFonts w:ascii="Times New Roman" w:eastAsia="標楷體" w:hAnsi="Times New Roman" w:cs="Times New Roman"/>
        </w:rPr>
        <w:t>：從健康到發病可能需要數年，但在這段「前驅期」，透過適當介入仍可逆轉</w:t>
      </w:r>
    </w:p>
    <w:p w:rsidR="003F53DC" w:rsidRPr="00D94C81" w:rsidRDefault="00974A15" w:rsidP="00D94C81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可預防性高</w:t>
      </w:r>
      <w:r w:rsidRPr="00D94C81">
        <w:rPr>
          <w:rFonts w:ascii="Times New Roman" w:eastAsia="標楷體" w:hAnsi="Times New Roman" w:cs="Times New Roman"/>
        </w:rPr>
        <w:t>：研究顯示，生活型態調整（如飲食、運動）可有效降低</w:t>
      </w:r>
      <w:r w:rsidRPr="00D94C81">
        <w:rPr>
          <w:rFonts w:ascii="Times New Roman" w:eastAsia="標楷體" w:hAnsi="Times New Roman" w:cs="Times New Roman"/>
        </w:rPr>
        <w:t xml:space="preserve"> 50% </w:t>
      </w:r>
      <w:r w:rsidRPr="00D94C81">
        <w:rPr>
          <w:rFonts w:ascii="Times New Roman" w:eastAsia="標楷體" w:hAnsi="Times New Roman" w:cs="Times New Roman"/>
        </w:rPr>
        <w:t>以上的發病風險</w:t>
      </w:r>
      <w:bookmarkStart w:id="4" w:name="_GoBack"/>
      <w:bookmarkEnd w:id="4"/>
    </w:p>
    <w:p w:rsidR="003F53DC" w:rsidRPr="00D94C81" w:rsidRDefault="00974A15" w:rsidP="00D94C81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lastRenderedPageBreak/>
        <w:t>晚期治療成本高</w:t>
      </w:r>
      <w:r w:rsidRPr="00D94C81">
        <w:rPr>
          <w:rFonts w:ascii="Times New Roman" w:eastAsia="標楷體" w:hAnsi="Times New Roman" w:cs="Times New Roman"/>
        </w:rPr>
        <w:t>：一旦發展為嚴重疾病或併發症，治療成本將大</w:t>
      </w:r>
      <w:r w:rsidRPr="00D94C81">
        <w:rPr>
          <w:rFonts w:ascii="Times New Roman" w:eastAsia="標楷體" w:hAnsi="Times New Roman" w:cs="Times New Roman"/>
        </w:rPr>
        <w:t>幅增加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此外，三高疾病近年呈現明顯的年輕化趨勢。在台灣，</w:t>
      </w:r>
      <w:r w:rsidRPr="00D94C81">
        <w:rPr>
          <w:rFonts w:ascii="Times New Roman" w:eastAsia="標楷體" w:hAnsi="Times New Roman" w:cs="Times New Roman"/>
        </w:rPr>
        <w:t>30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至</w:t>
      </w:r>
      <w:r w:rsidRPr="00D94C81">
        <w:rPr>
          <w:rFonts w:ascii="Times New Roman" w:eastAsia="標楷體" w:hAnsi="Times New Roman" w:cs="Times New Roman"/>
        </w:rPr>
        <w:t xml:space="preserve"> 39 </w:t>
      </w:r>
      <w:r w:rsidRPr="00D94C81">
        <w:rPr>
          <w:rFonts w:ascii="Times New Roman" w:eastAsia="標楷體" w:hAnsi="Times New Roman" w:cs="Times New Roman"/>
        </w:rPr>
        <w:t>歲族群中已有</w:t>
      </w:r>
      <w:r w:rsidRPr="00D94C81">
        <w:rPr>
          <w:rFonts w:ascii="Times New Roman" w:eastAsia="標楷體" w:hAnsi="Times New Roman" w:cs="Times New Roman"/>
        </w:rPr>
        <w:t xml:space="preserve"> 18.7% </w:t>
      </w:r>
      <w:r w:rsidRPr="00D94C81">
        <w:rPr>
          <w:rFonts w:ascii="Times New Roman" w:eastAsia="標楷體" w:hAnsi="Times New Roman" w:cs="Times New Roman"/>
        </w:rPr>
        <w:t>有高血脂、</w:t>
      </w:r>
      <w:r w:rsidRPr="00D94C81">
        <w:rPr>
          <w:rFonts w:ascii="Times New Roman" w:eastAsia="標楷體" w:hAnsi="Times New Roman" w:cs="Times New Roman"/>
        </w:rPr>
        <w:t>9.7%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有高血壓、</w:t>
      </w:r>
      <w:r w:rsidRPr="00D94C81">
        <w:rPr>
          <w:rFonts w:ascii="Times New Roman" w:eastAsia="標楷體" w:hAnsi="Times New Roman" w:cs="Times New Roman"/>
        </w:rPr>
        <w:t>2.5%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有高血糖</w:t>
      </w:r>
      <w:r w:rsidRPr="00D94C81">
        <w:rPr>
          <w:rStyle w:val="ae"/>
          <w:rFonts w:ascii="Times New Roman" w:eastAsia="標楷體" w:hAnsi="Times New Roman" w:cs="Times New Roman"/>
        </w:rPr>
        <w:footnoteReference w:id="10"/>
      </w:r>
      <w:r w:rsidRPr="00D94C81">
        <w:rPr>
          <w:rFonts w:ascii="Times New Roman" w:eastAsia="標楷體" w:hAnsi="Times New Roman" w:cs="Times New Roman"/>
        </w:rPr>
        <w:t>。為因應此趨勢，國民健康署自</w:t>
      </w:r>
      <w:r w:rsidRPr="00D94C81">
        <w:rPr>
          <w:rFonts w:ascii="Times New Roman" w:eastAsia="標楷體" w:hAnsi="Times New Roman" w:cs="Times New Roman"/>
        </w:rPr>
        <w:t xml:space="preserve"> 2025 </w:t>
      </w:r>
      <w:r w:rsidRPr="00D94C81">
        <w:rPr>
          <w:rFonts w:ascii="Times New Roman" w:eastAsia="標楷體" w:hAnsi="Times New Roman" w:cs="Times New Roman"/>
        </w:rPr>
        <w:t>年起將成人預防保健服務年齡從</w:t>
      </w:r>
      <w:r w:rsidRPr="00D94C81">
        <w:rPr>
          <w:rFonts w:ascii="Times New Roman" w:eastAsia="標楷體" w:hAnsi="Times New Roman" w:cs="Times New Roman"/>
        </w:rPr>
        <w:t xml:space="preserve"> 40 </w:t>
      </w:r>
      <w:r w:rsidRPr="00D94C81">
        <w:rPr>
          <w:rFonts w:ascii="Times New Roman" w:eastAsia="標楷體" w:hAnsi="Times New Roman" w:cs="Times New Roman"/>
        </w:rPr>
        <w:t>歲下修至</w:t>
      </w:r>
      <w:r w:rsidRPr="00D94C81">
        <w:rPr>
          <w:rFonts w:ascii="Times New Roman" w:eastAsia="標楷體" w:hAnsi="Times New Roman" w:cs="Times New Roman"/>
        </w:rPr>
        <w:t xml:space="preserve"> 30 </w:t>
      </w:r>
      <w:r w:rsidRPr="00D94C81">
        <w:rPr>
          <w:rFonts w:ascii="Times New Roman" w:eastAsia="標楷體" w:hAnsi="Times New Roman" w:cs="Times New Roman"/>
        </w:rPr>
        <w:t>歲</w:t>
      </w:r>
      <w:r w:rsidRPr="00D94C81">
        <w:rPr>
          <w:rStyle w:val="ae"/>
          <w:rFonts w:ascii="Times New Roman" w:eastAsia="標楷體" w:hAnsi="Times New Roman" w:cs="Times New Roman"/>
        </w:rPr>
        <w:footnoteReference w:id="11"/>
      </w:r>
      <w:r w:rsidRPr="00D94C81">
        <w:rPr>
          <w:rFonts w:ascii="Times New Roman" w:eastAsia="標楷體" w:hAnsi="Times New Roman" w:cs="Times New Roman"/>
        </w:rPr>
        <w:t>，反映出早期篩檢與預測的需求已從中高齡族群擴展至青壯年。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基於以上特徵，</w:t>
      </w:r>
      <w:r w:rsidRPr="00D94C81">
        <w:rPr>
          <w:rFonts w:ascii="Times New Roman" w:eastAsia="標楷體" w:hAnsi="Times New Roman" w:cs="Times New Roman"/>
          <w:b/>
          <w:bCs/>
        </w:rPr>
        <w:t>早期預測</w:t>
      </w:r>
      <w:r w:rsidRPr="00D94C81">
        <w:rPr>
          <w:rFonts w:ascii="Times New Roman" w:eastAsia="標楷體" w:hAnsi="Times New Roman" w:cs="Times New Roman"/>
        </w:rPr>
        <w:t>具有重要的臨床與公共衛生價值：</w:t>
      </w:r>
    </w:p>
    <w:p w:rsidR="003F53DC" w:rsidRPr="00D94C81" w:rsidRDefault="00974A15" w:rsidP="00D94C81">
      <w:pPr>
        <w:pStyle w:val="Compact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及早識別高風險個體，提供預防性介入</w:t>
      </w:r>
    </w:p>
    <w:p w:rsidR="003F53DC" w:rsidRPr="00D94C81" w:rsidRDefault="00974A15" w:rsidP="00D94C81">
      <w:pPr>
        <w:pStyle w:val="Compact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實現個人化的健康管理建議</w:t>
      </w:r>
    </w:p>
    <w:p w:rsidR="003F53DC" w:rsidRPr="00D94C81" w:rsidRDefault="00974A15" w:rsidP="00D94C81">
      <w:pPr>
        <w:pStyle w:val="Compact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降低長期醫療成本</w:t>
      </w:r>
    </w:p>
    <w:p w:rsidR="003F53DC" w:rsidRPr="00D94C81" w:rsidRDefault="00974A15" w:rsidP="00D94C81">
      <w:pPr>
        <w:pStyle w:val="Compact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提升國民整體健康水平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5" w:name="縱向健檢資料的研究價值"/>
      <w:bookmarkEnd w:id="3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1.1.3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縱向健檢資料的研究價值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近年來，隨著健康檢查的普及，大量的縱向健檢資料（</w:t>
      </w:r>
      <w:r w:rsidRPr="00D94C81">
        <w:rPr>
          <w:rFonts w:ascii="Times New Roman" w:eastAsia="標楷體" w:hAnsi="Times New Roman" w:cs="Times New Roman"/>
        </w:rPr>
        <w:t>Longitudinal</w:t>
      </w:r>
      <w:r w:rsidRPr="00D94C81">
        <w:rPr>
          <w:rFonts w:ascii="Times New Roman" w:eastAsia="標楷體" w:hAnsi="Times New Roman" w:cs="Times New Roman"/>
        </w:rPr>
        <w:t xml:space="preserve"> Health Checkup </w:t>
      </w:r>
      <w:r w:rsidRPr="00D94C81">
        <w:rPr>
          <w:rFonts w:ascii="Times New Roman" w:eastAsia="標楷體" w:hAnsi="Times New Roman" w:cs="Times New Roman"/>
        </w:rPr>
        <w:t>Data</w:t>
      </w:r>
      <w:r w:rsidRPr="00D94C81">
        <w:rPr>
          <w:rFonts w:ascii="Times New Roman" w:eastAsia="標楷體" w:hAnsi="Times New Roman" w:cs="Times New Roman"/>
        </w:rPr>
        <w:t>）被累積。這類資料記錄了同一個體在不同時間點的健康狀態，具有獨特的研究價值：</w:t>
      </w:r>
    </w:p>
    <w:p w:rsidR="003F53DC" w:rsidRPr="00D94C81" w:rsidRDefault="00974A15" w:rsidP="00D94C81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捕捉動態變化</w:t>
      </w:r>
      <w:r w:rsidRPr="00D94C81">
        <w:rPr>
          <w:rFonts w:ascii="Times New Roman" w:eastAsia="標楷體" w:hAnsi="Times New Roman" w:cs="Times New Roman"/>
        </w:rPr>
        <w:t>：可追蹤生物標記隨時間的變化趨勢</w:t>
      </w:r>
    </w:p>
    <w:p w:rsidR="003F53DC" w:rsidRPr="00D94C81" w:rsidRDefault="00974A15" w:rsidP="00D94C81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反映健康軌跡</w:t>
      </w:r>
      <w:r w:rsidRPr="00D94C81">
        <w:rPr>
          <w:rFonts w:ascii="Times New Roman" w:eastAsia="標楷體" w:hAnsi="Times New Roman" w:cs="Times New Roman"/>
        </w:rPr>
        <w:t>：呈現從健康到疾病的發展過程</w:t>
      </w:r>
    </w:p>
    <w:p w:rsidR="003F53DC" w:rsidRPr="00D94C81" w:rsidRDefault="00974A15" w:rsidP="00D94C81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提供預測線索</w:t>
      </w:r>
      <w:r w:rsidRPr="00D94C81">
        <w:rPr>
          <w:rFonts w:ascii="Times New Roman" w:eastAsia="標楷體" w:hAnsi="Times New Roman" w:cs="Times New Roman"/>
        </w:rPr>
        <w:t>：健康狀態的變化往往先於疾病確診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然而，傳統的疾病風險評估方法（如</w:t>
      </w:r>
      <w:r w:rsidRPr="00D94C81">
        <w:rPr>
          <w:rFonts w:ascii="Times New Roman" w:eastAsia="標楷體" w:hAnsi="Times New Roman" w:cs="Times New Roman"/>
        </w:rPr>
        <w:t xml:space="preserve"> Framingham </w:t>
      </w:r>
      <w:r w:rsidRPr="00D94C81">
        <w:rPr>
          <w:rFonts w:ascii="Times New Roman" w:eastAsia="標楷體" w:hAnsi="Times New Roman" w:cs="Times New Roman"/>
        </w:rPr>
        <w:t>風險評分）主要基於</w:t>
      </w:r>
      <w:r w:rsidRPr="00D94C81">
        <w:rPr>
          <w:rFonts w:ascii="Times New Roman" w:eastAsia="標楷體" w:hAnsi="Times New Roman" w:cs="Times New Roman"/>
          <w:b/>
          <w:bCs/>
        </w:rPr>
        <w:t>單一時間點</w:t>
      </w:r>
      <w:r w:rsidRPr="00D94C81">
        <w:rPr>
          <w:rFonts w:ascii="Times New Roman" w:eastAsia="標楷體" w:hAnsi="Times New Roman" w:cs="Times New Roman"/>
        </w:rPr>
        <w:t>的檢驗數據，未能充分利用縱向資料中蘊含的動態資訊。這是本研究欲填補的重要研究缺口。</w:t>
      </w:r>
    </w:p>
    <w:p w:rsidR="003F53DC" w:rsidRPr="00D94C81" w:rsidRDefault="00974A15" w:rsidP="00D94C81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6" w:name="問題陳述"/>
      <w:bookmarkEnd w:id="1"/>
      <w:bookmarkEnd w:id="5"/>
      <w:r w:rsidRPr="00D94C81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1.2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問題陳述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7" w:name="現有預測方法的限制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1.2.1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現有預測方法的限制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目前常見的三高疾病風險評估方法存在以下三大限制：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限制一：單時間點評估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傳統方法僅使用當前的檢驗數據進行風險評估，例如以當前空腹血糖值判斷糖尿病風險。這種方式忽略了一個重要事實：</w:t>
      </w:r>
      <w:r w:rsidRPr="00D94C81">
        <w:rPr>
          <w:rFonts w:ascii="Times New Roman" w:eastAsia="標楷體" w:hAnsi="Times New Roman" w:cs="Times New Roman"/>
          <w:b/>
          <w:bCs/>
        </w:rPr>
        <w:t>相同的檢驗數值在不同健康軌跡下具有不同的意義</w:t>
      </w:r>
      <w:r w:rsidRPr="00D94C81">
        <w:rPr>
          <w:rFonts w:ascii="Times New Roman" w:eastAsia="標楷體" w:hAnsi="Times New Roman" w:cs="Times New Roman"/>
        </w:rPr>
        <w:t>。例如，血糖從</w:t>
      </w:r>
      <w:r w:rsidRPr="00D94C81">
        <w:rPr>
          <w:rFonts w:ascii="Times New Roman" w:eastAsia="標楷體" w:hAnsi="Times New Roman" w:cs="Times New Roman"/>
        </w:rPr>
        <w:t xml:space="preserve"> 90 </w:t>
      </w:r>
      <w:r w:rsidRPr="00D94C81">
        <w:rPr>
          <w:rFonts w:ascii="Times New Roman" w:eastAsia="標楷體" w:hAnsi="Times New Roman" w:cs="Times New Roman"/>
        </w:rPr>
        <w:t>上升到</w:t>
      </w:r>
      <w:r w:rsidRPr="00D94C81">
        <w:rPr>
          <w:rFonts w:ascii="Times New Roman" w:eastAsia="標楷體" w:hAnsi="Times New Roman" w:cs="Times New Roman"/>
        </w:rPr>
        <w:t xml:space="preserve"> 95 mg/dL </w:t>
      </w:r>
      <w:r w:rsidRPr="00D94C81">
        <w:rPr>
          <w:rFonts w:ascii="Times New Roman" w:eastAsia="標楷體" w:hAnsi="Times New Roman" w:cs="Times New Roman"/>
        </w:rPr>
        <w:t>的個體，與從</w:t>
      </w:r>
      <w:r w:rsidRPr="00D94C81">
        <w:rPr>
          <w:rFonts w:ascii="Times New Roman" w:eastAsia="標楷體" w:hAnsi="Times New Roman" w:cs="Times New Roman"/>
        </w:rPr>
        <w:t xml:space="preserve"> 100 </w:t>
      </w:r>
      <w:r w:rsidRPr="00D94C81">
        <w:rPr>
          <w:rFonts w:ascii="Times New Roman" w:eastAsia="標楷體" w:hAnsi="Times New Roman" w:cs="Times New Roman"/>
        </w:rPr>
        <w:t>下降到</w:t>
      </w:r>
      <w:r w:rsidRPr="00D94C81">
        <w:rPr>
          <w:rFonts w:ascii="Times New Roman" w:eastAsia="標楷體" w:hAnsi="Times New Roman" w:cs="Times New Roman"/>
        </w:rPr>
        <w:t xml:space="preserve"> 95 mg/dL </w:t>
      </w:r>
      <w:r w:rsidRPr="00D94C81">
        <w:rPr>
          <w:rFonts w:ascii="Times New Roman" w:eastAsia="標楷體" w:hAnsi="Times New Roman" w:cs="Times New Roman"/>
        </w:rPr>
        <w:t>的個體，雖然當前血糖值相同，但其未來風險可能截然不同。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限制二：缺乏縱向資訊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大多數現有研究未充分利用歷史健檢資料，也缺少「變化量特徵」（</w:t>
      </w:r>
      <w:r w:rsidRPr="00D94C81">
        <w:rPr>
          <w:rFonts w:ascii="Times New Roman" w:eastAsia="標楷體" w:hAnsi="Times New Roman" w:cs="Times New Roman"/>
        </w:rPr>
        <w:t>Delta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Featur</w:t>
      </w:r>
      <w:r w:rsidRPr="00D94C81">
        <w:rPr>
          <w:rFonts w:ascii="Times New Roman" w:eastAsia="標楷體" w:hAnsi="Times New Roman" w:cs="Times New Roman"/>
        </w:rPr>
        <w:t>es</w:t>
      </w:r>
      <w:r w:rsidRPr="00D94C81">
        <w:rPr>
          <w:rFonts w:ascii="Times New Roman" w:eastAsia="標楷體" w:hAnsi="Times New Roman" w:cs="Times New Roman"/>
        </w:rPr>
        <w:t>）的工程設計。近期研究（如</w:t>
      </w:r>
      <w:r w:rsidRPr="00D94C81">
        <w:rPr>
          <w:rFonts w:ascii="Times New Roman" w:eastAsia="標楷體" w:hAnsi="Times New Roman" w:cs="Times New Roman"/>
        </w:rPr>
        <w:t xml:space="preserve"> Dual Framework </w:t>
      </w:r>
      <w:r w:rsidRPr="00D94C81">
        <w:rPr>
          <w:rFonts w:ascii="Times New Roman" w:eastAsia="標楷體" w:hAnsi="Times New Roman" w:cs="Times New Roman"/>
        </w:rPr>
        <w:t>2025</w:t>
      </w:r>
      <w:r w:rsidRPr="00D94C81">
        <w:rPr>
          <w:rFonts w:ascii="Times New Roman" w:eastAsia="標楷體" w:hAnsi="Times New Roman" w:cs="Times New Roman"/>
        </w:rPr>
        <w:t>）已證實，血糖變化量（</w:t>
      </w:r>
      <w:r w:rsidRPr="00D94C81">
        <w:rPr>
          <w:rFonts w:ascii="Times New Roman" w:eastAsia="標楷體" w:hAnsi="Times New Roman" w:cs="Times New Roman"/>
        </w:rPr>
        <w:t>δ-FPG</w:t>
      </w:r>
      <w:r w:rsidRPr="00D94C81">
        <w:rPr>
          <w:rFonts w:ascii="Times New Roman" w:eastAsia="標楷體" w:hAnsi="Times New Roman" w:cs="Times New Roman"/>
        </w:rPr>
        <w:t>）在糖尿病預測中具有極高的重要性，但類似的特徵工程方法尚未被系統性地應用於三高疾病的同時預測。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限制三：模型可解釋性不足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許多高準確度的機器學習模型（如深度神經網路）是「黑箱」模型，難以解釋預測背後的原因。這在醫療應用場景中造成兩個問題：</w:t>
      </w:r>
    </w:p>
    <w:p w:rsidR="003F53DC" w:rsidRPr="00D94C81" w:rsidRDefault="00974A15" w:rsidP="00D94C81">
      <w:pPr>
        <w:pStyle w:val="Compact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醫療人員難以信任無法解釋的預測結果</w:t>
      </w:r>
    </w:p>
    <w:p w:rsidR="003F53DC" w:rsidRPr="00D94C81" w:rsidRDefault="00974A15" w:rsidP="00D94C81">
      <w:pPr>
        <w:pStyle w:val="Compact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無法提供患者具體可行的風險因子改善建議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8" w:name="核心研究問題"/>
      <w:bookmarkEnd w:id="7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1.2.2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核心研究問題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基於上述背景，本研究提出以下核心研究問題：</w:t>
      </w:r>
    </w:p>
    <w:p w:rsidR="003F53DC" w:rsidRPr="00D94C81" w:rsidRDefault="00974A15" w:rsidP="00D94C81">
      <w:pPr>
        <w:pStyle w:val="aa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如何利用縱向健檢資料，有</w:t>
      </w:r>
      <w:r w:rsidRPr="00D94C81">
        <w:rPr>
          <w:rFonts w:ascii="Times New Roman" w:eastAsia="標楷體" w:hAnsi="Times New Roman" w:cs="Times New Roman"/>
          <w:b/>
          <w:bCs/>
        </w:rPr>
        <w:t>效預測個體未來罹患三高疾病的風險，同時兼顧預測準確性與模型可解釋性？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9" w:name="具體研究問題"/>
      <w:bookmarkEnd w:id="8"/>
      <w:r w:rsidRPr="00D94C81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1.2.3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具體研究問題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為回答上述核心問題，本研究設定以下六個具體研究問題：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Q1</w:t>
      </w:r>
      <w:r w:rsidRPr="00D94C81">
        <w:rPr>
          <w:rFonts w:ascii="Times New Roman" w:eastAsia="標楷體" w:hAnsi="Times New Roman" w:cs="Times New Roman"/>
          <w:b/>
          <w:bCs/>
        </w:rPr>
        <w:t>：變化量特徵的預測價值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在相同的健檢時間點數量下，額外納入變化量特徵（</w:t>
      </w:r>
      <w:r w:rsidRPr="00D94C81">
        <w:rPr>
          <w:rFonts w:ascii="Times New Roman" w:eastAsia="標楷體" w:hAnsi="Times New Roman" w:cs="Times New Roman"/>
        </w:rPr>
        <w:t>Δ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Features</w:t>
      </w:r>
      <w:r w:rsidRPr="00D94C81">
        <w:rPr>
          <w:rFonts w:ascii="Times New Roman" w:eastAsia="標楷體" w:hAnsi="Times New Roman" w:cs="Times New Roman"/>
        </w:rPr>
        <w:t>）是否能顯著提升三高疾病的預測性能？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Q2</w:t>
      </w:r>
      <w:r w:rsidRPr="00D94C81">
        <w:rPr>
          <w:rFonts w:ascii="Times New Roman" w:eastAsia="標楷體" w:hAnsi="Times New Roman" w:cs="Times New Roman"/>
          <w:b/>
          <w:bCs/>
        </w:rPr>
        <w:t>：模型選擇與比較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在三高疾病預測任務中，哪些機器學習模型表現最佳？傳統統計方法與機器學習方法的性能差異為何？可解釋模型與黑箱模型之間如何權衡？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Q3</w:t>
      </w:r>
      <w:r w:rsidRPr="00D94C81">
        <w:rPr>
          <w:rFonts w:ascii="Times New Roman" w:eastAsia="標楷體" w:hAnsi="Times New Roman" w:cs="Times New Roman"/>
          <w:b/>
          <w:bCs/>
        </w:rPr>
        <w:t>：多任務學習的效果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同時預測三高疾病（</w:t>
      </w:r>
      <w:r w:rsidRPr="00D94C81">
        <w:rPr>
          <w:rFonts w:ascii="Times New Roman" w:eastAsia="標楷體" w:hAnsi="Times New Roman" w:cs="Times New Roman"/>
        </w:rPr>
        <w:t>Multi-Task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Learning</w:t>
      </w:r>
      <w:r w:rsidRPr="00D94C81">
        <w:rPr>
          <w:rFonts w:ascii="Times New Roman" w:eastAsia="標楷體" w:hAnsi="Times New Roman" w:cs="Times New Roman"/>
        </w:rPr>
        <w:t>）是否優於分別預測單一疾病（</w:t>
      </w:r>
      <w:r w:rsidRPr="00D94C81">
        <w:rPr>
          <w:rFonts w:ascii="Times New Roman" w:eastAsia="標楷體" w:hAnsi="Times New Roman" w:cs="Times New Roman"/>
        </w:rPr>
        <w:t>Single-Task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Learning</w:t>
      </w:r>
      <w:r w:rsidRPr="00D94C81">
        <w:rPr>
          <w:rFonts w:ascii="Times New Roman" w:eastAsia="標楷體" w:hAnsi="Times New Roman" w:cs="Times New Roman"/>
        </w:rPr>
        <w:t>）？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Q4</w:t>
      </w:r>
      <w:r w:rsidRPr="00D94C81">
        <w:rPr>
          <w:rFonts w:ascii="Times New Roman" w:eastAsia="標楷體" w:hAnsi="Times New Roman" w:cs="Times New Roman"/>
          <w:b/>
          <w:bCs/>
        </w:rPr>
        <w:t>：特徵重要性分析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哪些生物標記及其變化量對三高疾病預測最為重要？這些發現如何支持臨床決策？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Q5</w:t>
      </w:r>
      <w:r w:rsidRPr="00D94C81">
        <w:rPr>
          <w:rFonts w:ascii="Times New Roman" w:eastAsia="標楷體" w:hAnsi="Times New Roman" w:cs="Times New Roman"/>
          <w:b/>
          <w:bCs/>
        </w:rPr>
        <w:t>：時間點選擇策略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使用健檢資料的不同時間區間（如前三次</w:t>
      </w:r>
      <w:r w:rsidRPr="00D94C81">
        <w:rPr>
          <w:rFonts w:ascii="Times New Roman" w:eastAsia="標楷體" w:hAnsi="Times New Roman" w:cs="Times New Roman"/>
        </w:rPr>
        <w:t xml:space="preserve"> vs </w:t>
      </w:r>
      <w:r w:rsidRPr="00D94C81">
        <w:rPr>
          <w:rFonts w:ascii="Times New Roman" w:eastAsia="標楷體" w:hAnsi="Times New Roman" w:cs="Times New Roman"/>
        </w:rPr>
        <w:t>後三次健檢），對預測性能有何影響？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Q6</w:t>
      </w:r>
      <w:r w:rsidRPr="00D94C81">
        <w:rPr>
          <w:rFonts w:ascii="Times New Roman" w:eastAsia="標楷體" w:hAnsi="Times New Roman" w:cs="Times New Roman"/>
          <w:b/>
          <w:bCs/>
        </w:rPr>
        <w:t>：健檢次數對預測性能的影響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累積更多次健檢紀錄是否能提升預測準確度？此結果對鼓勵民眾定期健檢及健檢機構的服務規劃有何啟示？</w:t>
      </w:r>
    </w:p>
    <w:p w:rsidR="003F53DC" w:rsidRPr="00D94C81" w:rsidRDefault="00974A15" w:rsidP="00D94C81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0" w:name="研究目標"/>
      <w:bookmarkEnd w:id="6"/>
      <w:bookmarkEnd w:id="9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1.3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研究目標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1" w:name="主要目標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1.3.1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主要目標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本研究的主要目標是：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建立一個基於縱向健檢資料的三高疾病</w:t>
      </w:r>
      <w:r w:rsidRPr="00D94C81">
        <w:rPr>
          <w:rFonts w:ascii="Times New Roman" w:eastAsia="標楷體" w:hAnsi="Times New Roman" w:cs="Times New Roman"/>
          <w:b/>
          <w:bCs/>
        </w:rPr>
        <w:t>預測系統</w:t>
      </w:r>
      <w:r w:rsidRPr="00D94C81">
        <w:rPr>
          <w:rFonts w:ascii="Times New Roman" w:eastAsia="標楷體" w:hAnsi="Times New Roman" w:cs="Times New Roman"/>
        </w:rPr>
        <w:t>，此系統能夠：</w:t>
      </w:r>
    </w:p>
    <w:p w:rsidR="003F53DC" w:rsidRPr="00D94C81" w:rsidRDefault="00974A15" w:rsidP="00D94C81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準確預測</w:t>
      </w:r>
      <w:r w:rsidRPr="00D94C81">
        <w:rPr>
          <w:rFonts w:ascii="Times New Roman" w:eastAsia="標楷體" w:hAnsi="Times New Roman" w:cs="Times New Roman"/>
        </w:rPr>
        <w:t>：利用歷史健檢資料預測個體未來罹患三高疾病的風險</w:t>
      </w:r>
    </w:p>
    <w:p w:rsidR="003F53DC" w:rsidRPr="00D94C81" w:rsidRDefault="00974A15" w:rsidP="00D94C81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利用動態資訊</w:t>
      </w:r>
      <w:r w:rsidRPr="00D94C81">
        <w:rPr>
          <w:rFonts w:ascii="Times New Roman" w:eastAsia="標楷體" w:hAnsi="Times New Roman" w:cs="Times New Roman"/>
        </w:rPr>
        <w:t>：透過變化量特徵（</w:t>
      </w:r>
      <w:r w:rsidRPr="00D94C81">
        <w:rPr>
          <w:rFonts w:ascii="Times New Roman" w:eastAsia="標楷體" w:hAnsi="Times New Roman" w:cs="Times New Roman"/>
        </w:rPr>
        <w:t>Δ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Features</w:t>
      </w:r>
      <w:r w:rsidRPr="00D94C81">
        <w:rPr>
          <w:rFonts w:ascii="Times New Roman" w:eastAsia="標楷體" w:hAnsi="Times New Roman" w:cs="Times New Roman"/>
        </w:rPr>
        <w:t>）捕捉健康狀態的動態變化</w:t>
      </w:r>
    </w:p>
    <w:p w:rsidR="003F53DC" w:rsidRPr="00D94C81" w:rsidRDefault="00974A15" w:rsidP="00D94C81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提供可解釋結果</w:t>
      </w:r>
      <w:r w:rsidRPr="00D94C81">
        <w:rPr>
          <w:rFonts w:ascii="Times New Roman" w:eastAsia="標楷體" w:hAnsi="Times New Roman" w:cs="Times New Roman"/>
        </w:rPr>
        <w:t>：識別關鍵風險因子，支持臨床決策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2" w:name="次要目標"/>
      <w:bookmarkEnd w:id="11"/>
      <w:r w:rsidRPr="00D94C81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1.3.2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次要目標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除主要目標外，本研究同時設定以下次要目標：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目標一：特徵工程創新</w:t>
      </w:r>
    </w:p>
    <w:p w:rsidR="003F53DC" w:rsidRPr="00D94C81" w:rsidRDefault="00974A15" w:rsidP="00D94C81">
      <w:pPr>
        <w:pStyle w:val="Compact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設計並驗證縱向變化量特徵（</w:t>
      </w:r>
      <w:r w:rsidRPr="00D94C81">
        <w:rPr>
          <w:rFonts w:ascii="Times New Roman" w:eastAsia="標楷體" w:hAnsi="Times New Roman" w:cs="Times New Roman"/>
        </w:rPr>
        <w:t>Δ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Features</w:t>
      </w:r>
      <w:r w:rsidRPr="00D94C81">
        <w:rPr>
          <w:rFonts w:ascii="Times New Roman" w:eastAsia="標楷體" w:hAnsi="Times New Roman" w:cs="Times New Roman"/>
        </w:rPr>
        <w:t>）在三高預測的有效性</w:t>
      </w:r>
    </w:p>
    <w:p w:rsidR="003F53DC" w:rsidRPr="00D94C81" w:rsidRDefault="00974A15" w:rsidP="00D94C81">
      <w:pPr>
        <w:pStyle w:val="Compact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探索不同時間窗口的特徵組合策略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目標二：模型比較研究</w:t>
      </w:r>
    </w:p>
    <w:p w:rsidR="003F53DC" w:rsidRPr="00D94C81" w:rsidRDefault="00974A15" w:rsidP="00D94C81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系統性比較多種機器學習模型，包含傳統統計方法、樹模型、深度學習與符號迴歸</w:t>
      </w:r>
    </w:p>
    <w:p w:rsidR="003F53DC" w:rsidRPr="00D94C81" w:rsidRDefault="00974A15" w:rsidP="00D94C81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評估可解釋性與預測性能之間的權衡關係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目標三：多任務學習探索</w:t>
      </w:r>
    </w:p>
    <w:p w:rsidR="003F53DC" w:rsidRPr="00D94C81" w:rsidRDefault="00974A15" w:rsidP="00D94C81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驗證同時預測三高疾病的多任務學習（</w:t>
      </w:r>
      <w:r w:rsidRPr="00D94C81">
        <w:rPr>
          <w:rFonts w:ascii="Times New Roman" w:eastAsia="標楷體" w:hAnsi="Times New Roman" w:cs="Times New Roman"/>
        </w:rPr>
        <w:t>MTL</w:t>
      </w:r>
      <w:r w:rsidRPr="00D94C81">
        <w:rPr>
          <w:rFonts w:ascii="Times New Roman" w:eastAsia="標楷體" w:hAnsi="Times New Roman" w:cs="Times New Roman"/>
        </w:rPr>
        <w:t>）架構效果</w:t>
      </w:r>
    </w:p>
    <w:p w:rsidR="003F53DC" w:rsidRPr="00D94C81" w:rsidRDefault="00974A15" w:rsidP="00D94C81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分析三高疾病之間的共享風險因子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目標四：臨床應用指引</w:t>
      </w:r>
    </w:p>
    <w:p w:rsidR="003F53DC" w:rsidRPr="00D94C81" w:rsidRDefault="00974A15" w:rsidP="00D94C81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識別高風險族群的關鍵特徵</w:t>
      </w:r>
    </w:p>
    <w:p w:rsidR="003F53DC" w:rsidRPr="00D94C81" w:rsidRDefault="00974A15" w:rsidP="00D94C81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提供具體可行的個人化健康管理建議</w:t>
      </w:r>
    </w:p>
    <w:p w:rsidR="003F53DC" w:rsidRPr="00D94C81" w:rsidRDefault="00974A15" w:rsidP="00D94C81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3" w:name="研究貢獻"/>
      <w:bookmarkEnd w:id="10"/>
      <w:bookmarkEnd w:id="12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1.4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研究貢獻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本研究預期在學術與應用層面做出以下貢獻：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4" w:name="學術貢獻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1.4.1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學術貢獻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貢獻一：縱向變化量特徵的系統性驗證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lastRenderedPageBreak/>
        <w:t>本研究首次系統性驗證變化量特徵（</w:t>
      </w:r>
      <w:r w:rsidRPr="00D94C81">
        <w:rPr>
          <w:rFonts w:ascii="Times New Roman" w:eastAsia="標楷體" w:hAnsi="Times New Roman" w:cs="Times New Roman"/>
        </w:rPr>
        <w:t>Δ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Features</w:t>
      </w:r>
      <w:r w:rsidRPr="00D94C81">
        <w:rPr>
          <w:rFonts w:ascii="Times New Roman" w:eastAsia="標楷體" w:hAnsi="Times New Roman" w:cs="Times New Roman"/>
        </w:rPr>
        <w:t>）在三高疾病「同時預測」的價值。雖然個別研究（如</w:t>
      </w:r>
      <w:r w:rsidRPr="00D94C81">
        <w:rPr>
          <w:rFonts w:ascii="Times New Roman" w:eastAsia="標楷體" w:hAnsi="Times New Roman" w:cs="Times New Roman"/>
        </w:rPr>
        <w:t xml:space="preserve"> Dual Framework 2025 </w:t>
      </w:r>
      <w:r w:rsidRPr="00D94C81">
        <w:rPr>
          <w:rFonts w:ascii="Times New Roman" w:eastAsia="標楷體" w:hAnsi="Times New Roman" w:cs="Times New Roman"/>
        </w:rPr>
        <w:t>的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δ-FPG</w:t>
      </w:r>
      <w:r w:rsidRPr="00D94C81">
        <w:rPr>
          <w:rFonts w:ascii="Times New Roman" w:eastAsia="標楷體" w:hAnsi="Times New Roman" w:cs="Times New Roman"/>
        </w:rPr>
        <w:t>）已顯示變化量特徵的重要性，但將此概念擴展至多種疾病的同時預測，並進行完整的消融實驗，是本研究的重要貢獻。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貢獻二：全面的模型比較研究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本研究比較多種類型的機器學習模型，涵蓋：</w:t>
      </w:r>
    </w:p>
    <w:p w:rsidR="003F53DC" w:rsidRPr="00D94C81" w:rsidRDefault="00974A15" w:rsidP="00D94C81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傳統統計方法（</w:t>
      </w:r>
      <w:r w:rsidRPr="00D94C81">
        <w:rPr>
          <w:rFonts w:ascii="Times New Roman" w:eastAsia="標楷體" w:hAnsi="Times New Roman" w:cs="Times New Roman"/>
        </w:rPr>
        <w:t>Logistic</w:t>
      </w:r>
      <w:r w:rsidRPr="00D94C81">
        <w:rPr>
          <w:rFonts w:ascii="Times New Roman" w:eastAsia="標楷體" w:hAnsi="Times New Roman" w:cs="Times New Roman"/>
        </w:rPr>
        <w:t xml:space="preserve"> </w:t>
      </w:r>
      <w:r w:rsidRPr="00D94C81">
        <w:rPr>
          <w:rFonts w:ascii="Times New Roman" w:eastAsia="標楷體" w:hAnsi="Times New Roman" w:cs="Times New Roman"/>
        </w:rPr>
        <w:t>Regression</w:t>
      </w:r>
      <w:r w:rsidRPr="00D94C81">
        <w:rPr>
          <w:rFonts w:ascii="Times New Roman" w:eastAsia="標楷體" w:hAnsi="Times New Roman" w:cs="Times New Roman"/>
        </w:rPr>
        <w:t>）</w:t>
      </w:r>
    </w:p>
    <w:p w:rsidR="003F53DC" w:rsidRPr="00D94C81" w:rsidRDefault="00974A15" w:rsidP="00D94C81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樹模型（</w:t>
      </w:r>
      <w:r w:rsidRPr="00D94C81">
        <w:rPr>
          <w:rFonts w:ascii="Times New Roman" w:eastAsia="標楷體" w:hAnsi="Times New Roman" w:cs="Times New Roman"/>
        </w:rPr>
        <w:t>Decision</w:t>
      </w:r>
      <w:r w:rsidRPr="00D94C81">
        <w:rPr>
          <w:rFonts w:ascii="Times New Roman" w:eastAsia="標楷體" w:hAnsi="Times New Roman" w:cs="Times New Roman"/>
        </w:rPr>
        <w:t xml:space="preserve"> Tree</w:t>
      </w:r>
      <w:r w:rsidRPr="00D94C81">
        <w:rPr>
          <w:rFonts w:ascii="Times New Roman" w:eastAsia="標楷體" w:hAnsi="Times New Roman" w:cs="Times New Roman"/>
        </w:rPr>
        <w:t>、</w:t>
      </w:r>
      <w:r w:rsidRPr="00D94C81">
        <w:rPr>
          <w:rFonts w:ascii="Times New Roman" w:eastAsia="標楷體" w:hAnsi="Times New Roman" w:cs="Times New Roman"/>
        </w:rPr>
        <w:t xml:space="preserve">Random </w:t>
      </w:r>
      <w:r w:rsidRPr="00D94C81">
        <w:rPr>
          <w:rFonts w:ascii="Times New Roman" w:eastAsia="標楷體" w:hAnsi="Times New Roman" w:cs="Times New Roman"/>
        </w:rPr>
        <w:t>Forest</w:t>
      </w:r>
      <w:r w:rsidRPr="00D94C81">
        <w:rPr>
          <w:rFonts w:ascii="Times New Roman" w:eastAsia="標楷體" w:hAnsi="Times New Roman" w:cs="Times New Roman"/>
        </w:rPr>
        <w:t>、</w:t>
      </w:r>
      <w:r w:rsidRPr="00D94C81">
        <w:rPr>
          <w:rFonts w:ascii="Times New Roman" w:eastAsia="標楷體" w:hAnsi="Times New Roman" w:cs="Times New Roman"/>
        </w:rPr>
        <w:t>XGBoost</w:t>
      </w:r>
      <w:r w:rsidRPr="00D94C81">
        <w:rPr>
          <w:rFonts w:ascii="Times New Roman" w:eastAsia="標楷體" w:hAnsi="Times New Roman" w:cs="Times New Roman"/>
        </w:rPr>
        <w:t>）</w:t>
      </w:r>
    </w:p>
    <w:p w:rsidR="003F53DC" w:rsidRPr="00D94C81" w:rsidRDefault="00974A15" w:rsidP="00D94C81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深度學習（</w:t>
      </w:r>
      <w:r w:rsidRPr="00D94C81">
        <w:rPr>
          <w:rFonts w:ascii="Times New Roman" w:eastAsia="標楷體" w:hAnsi="Times New Roman" w:cs="Times New Roman"/>
        </w:rPr>
        <w:t>MLP</w:t>
      </w:r>
      <w:r w:rsidRPr="00D94C81">
        <w:rPr>
          <w:rFonts w:ascii="Times New Roman" w:eastAsia="標楷體" w:hAnsi="Times New Roman" w:cs="Times New Roman"/>
        </w:rPr>
        <w:t>）</w:t>
      </w:r>
    </w:p>
    <w:p w:rsidR="003F53DC" w:rsidRPr="00D94C81" w:rsidRDefault="00974A15" w:rsidP="00D94C81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符號迴歸（</w:t>
      </w:r>
      <w:r w:rsidRPr="00D94C81">
        <w:rPr>
          <w:rFonts w:ascii="Times New Roman" w:eastAsia="標楷體" w:hAnsi="Times New Roman" w:cs="Times New Roman"/>
        </w:rPr>
        <w:t>PySR</w:t>
      </w:r>
      <w:r w:rsidRPr="00D94C81">
        <w:rPr>
          <w:rFonts w:ascii="Times New Roman" w:eastAsia="標楷體" w:hAnsi="Times New Roman" w:cs="Times New Roman"/>
        </w:rPr>
        <w:t>）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這種跨類型的系統性比較，可為後續研究與臨床應用提供模型選擇的實證依據。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貢獻三：可解釋性與性能的權衡分析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本研究同時關注模型的預測性能與可解釋性，探討兩者之間的權衡關係，為醫療</w:t>
      </w:r>
      <w:r w:rsidRPr="00D94C81">
        <w:rPr>
          <w:rFonts w:ascii="Times New Roman" w:eastAsia="標楷體" w:hAnsi="Times New Roman" w:cs="Times New Roman"/>
        </w:rPr>
        <w:t xml:space="preserve"> AI </w:t>
      </w:r>
      <w:r w:rsidRPr="00D94C81">
        <w:rPr>
          <w:rFonts w:ascii="Times New Roman" w:eastAsia="標楷體" w:hAnsi="Times New Roman" w:cs="Times New Roman"/>
        </w:rPr>
        <w:t>應用的模型選擇提供指引。</w:t>
      </w:r>
    </w:p>
    <w:p w:rsidR="003F53DC" w:rsidRPr="00D94C81" w:rsidRDefault="00974A15" w:rsidP="00D94C81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5" w:name="應用貢獻"/>
      <w:bookmarkEnd w:id="14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1.4.2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應用貢獻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貢獻一：早期預警系統原型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本研究成果可作為健檢中心部署早期預警系統的基礎，自動標註高風險個體，提供個人化預防建議。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貢獻二：臨床決策支持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透過特徵重要性分析，本研究可識別可干預的風險因子，輔助醫師進行臨床判斷與衛教。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貢獻三：公共衛生效益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長期而言，本研究有助於：</w:t>
      </w:r>
    </w:p>
    <w:p w:rsidR="003F53DC" w:rsidRPr="00D94C81" w:rsidRDefault="00974A15" w:rsidP="00D94C81">
      <w:pPr>
        <w:pStyle w:val="Compact"/>
        <w:numPr>
          <w:ilvl w:val="0"/>
          <w:numId w:val="1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lastRenderedPageBreak/>
        <w:t>降低三高疾病的發生率</w:t>
      </w:r>
    </w:p>
    <w:p w:rsidR="003F53DC" w:rsidRPr="00D94C81" w:rsidRDefault="00974A15" w:rsidP="00D94C81">
      <w:pPr>
        <w:pStyle w:val="Compact"/>
        <w:numPr>
          <w:ilvl w:val="0"/>
          <w:numId w:val="1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減少相關醫療支出</w:t>
      </w:r>
    </w:p>
    <w:p w:rsidR="003F53DC" w:rsidRPr="00D94C81" w:rsidRDefault="00974A15" w:rsidP="00D94C81">
      <w:pPr>
        <w:pStyle w:val="Compact"/>
        <w:numPr>
          <w:ilvl w:val="0"/>
          <w:numId w:val="13"/>
        </w:numPr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提升國民整體健康水平</w:t>
      </w:r>
    </w:p>
    <w:p w:rsidR="003F53DC" w:rsidRPr="00D94C81" w:rsidRDefault="00974A15" w:rsidP="00D94C81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6" w:name="論文架構"/>
      <w:bookmarkEnd w:id="13"/>
      <w:bookmarkEnd w:id="15"/>
      <w:r w:rsidRPr="00D94C81">
        <w:rPr>
          <w:rFonts w:ascii="Times New Roman" w:eastAsia="標楷體" w:hAnsi="Times New Roman" w:cs="Times New Roman"/>
          <w:sz w:val="24"/>
          <w:szCs w:val="24"/>
        </w:rPr>
        <w:t xml:space="preserve">1.5 </w:t>
      </w:r>
      <w:r w:rsidRPr="00D94C81">
        <w:rPr>
          <w:rFonts w:ascii="Times New Roman" w:eastAsia="標楷體" w:hAnsi="Times New Roman" w:cs="Times New Roman"/>
          <w:sz w:val="24"/>
          <w:szCs w:val="24"/>
        </w:rPr>
        <w:t>論文架構</w:t>
      </w:r>
    </w:p>
    <w:p w:rsidR="003F53DC" w:rsidRPr="00D94C81" w:rsidRDefault="00974A15" w:rsidP="00D94C81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本論文共分為五章，各章內容安排如下：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第</w:t>
      </w:r>
      <w:r w:rsidRPr="00D94C81">
        <w:rPr>
          <w:rFonts w:ascii="Times New Roman" w:eastAsia="標楷體" w:hAnsi="Times New Roman" w:cs="Times New Roman"/>
          <w:b/>
          <w:bCs/>
        </w:rPr>
        <w:t>一章</w:t>
      </w:r>
      <w:r w:rsidRPr="00D94C81">
        <w:rPr>
          <w:rFonts w:ascii="Times New Roman" w:eastAsia="標楷體" w:hAnsi="Times New Roman" w:cs="Times New Roman"/>
          <w:b/>
          <w:bCs/>
        </w:rPr>
        <w:t xml:space="preserve">　</w:t>
      </w:r>
      <w:r w:rsidRPr="00D94C81">
        <w:rPr>
          <w:rFonts w:ascii="Times New Roman" w:eastAsia="標楷體" w:hAnsi="Times New Roman" w:cs="Times New Roman"/>
          <w:b/>
          <w:bCs/>
        </w:rPr>
        <w:t>緒論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說明研究背景、動機、問題陳述、研究目標與預期貢獻，引導讀者了解本研究的定位與價值。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第二章</w:t>
      </w:r>
      <w:r w:rsidRPr="00D94C81">
        <w:rPr>
          <w:rFonts w:ascii="Times New Roman" w:eastAsia="標楷體" w:hAnsi="Times New Roman" w:cs="Times New Roman"/>
          <w:b/>
          <w:bCs/>
        </w:rPr>
        <w:t xml:space="preserve">　</w:t>
      </w:r>
      <w:r w:rsidRPr="00D94C81">
        <w:rPr>
          <w:rFonts w:ascii="Times New Roman" w:eastAsia="標楷體" w:hAnsi="Times New Roman" w:cs="Times New Roman"/>
          <w:b/>
          <w:bCs/>
        </w:rPr>
        <w:t>文獻探討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回顧三高疾病預測的相關文獻，包括傳統風險評估方法、機器學習應用、縱向資料分析，以及變化量特徵工程的相關研究。透過文獻回顧，識別現有研究缺口，奠定本研究的理論基礎。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第三章</w:t>
      </w:r>
      <w:r w:rsidRPr="00D94C81">
        <w:rPr>
          <w:rFonts w:ascii="Times New Roman" w:eastAsia="標楷體" w:hAnsi="Times New Roman" w:cs="Times New Roman"/>
          <w:b/>
          <w:bCs/>
        </w:rPr>
        <w:t xml:space="preserve">　</w:t>
      </w:r>
      <w:r w:rsidRPr="00D94C81">
        <w:rPr>
          <w:rFonts w:ascii="Times New Roman" w:eastAsia="標楷體" w:hAnsi="Times New Roman" w:cs="Times New Roman"/>
          <w:b/>
          <w:bCs/>
        </w:rPr>
        <w:t>研究方法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詳細說明本研究的方法論，包括資料來源與前處理、特徵工程設計、模型選擇與訓練策略、實驗設計，以及評估指標的選用。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第四章</w:t>
      </w:r>
      <w:r w:rsidRPr="00D94C81">
        <w:rPr>
          <w:rFonts w:ascii="Times New Roman" w:eastAsia="標楷體" w:hAnsi="Times New Roman" w:cs="Times New Roman"/>
          <w:b/>
          <w:bCs/>
        </w:rPr>
        <w:t xml:space="preserve">　</w:t>
      </w:r>
      <w:r w:rsidRPr="00D94C81">
        <w:rPr>
          <w:rFonts w:ascii="Times New Roman" w:eastAsia="標楷體" w:hAnsi="Times New Roman" w:cs="Times New Roman"/>
          <w:b/>
          <w:bCs/>
        </w:rPr>
        <w:t>實驗結果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呈現各項實驗的結果與分析，包括模型比較、消融實驗、特徵重要性分析等，並對結果進行討論與</w:t>
      </w:r>
      <w:r w:rsidRPr="00D94C81">
        <w:rPr>
          <w:rFonts w:ascii="Times New Roman" w:eastAsia="標楷體" w:hAnsi="Times New Roman" w:cs="Times New Roman"/>
        </w:rPr>
        <w:t>詮釋。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  <w:b/>
          <w:bCs/>
        </w:rPr>
        <w:t>第五章</w:t>
      </w:r>
      <w:r w:rsidRPr="00D94C81">
        <w:rPr>
          <w:rFonts w:ascii="Times New Roman" w:eastAsia="標楷體" w:hAnsi="Times New Roman" w:cs="Times New Roman"/>
          <w:b/>
          <w:bCs/>
        </w:rPr>
        <w:t xml:space="preserve">　</w:t>
      </w:r>
      <w:r w:rsidRPr="00D94C81">
        <w:rPr>
          <w:rFonts w:ascii="Times New Roman" w:eastAsia="標楷體" w:hAnsi="Times New Roman" w:cs="Times New Roman"/>
          <w:b/>
          <w:bCs/>
        </w:rPr>
        <w:t>結論與未來展望</w:t>
      </w:r>
    </w:p>
    <w:p w:rsidR="003F53DC" w:rsidRPr="00D94C81" w:rsidRDefault="00974A15" w:rsidP="00D94C81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D94C81">
        <w:rPr>
          <w:rFonts w:ascii="Times New Roman" w:eastAsia="標楷體" w:hAnsi="Times New Roman" w:cs="Times New Roman"/>
        </w:rPr>
        <w:t>總結本研究的主要發現與貢獻，討論研究限制，並提出未來研究方向的建議。</w:t>
      </w:r>
      <w:bookmarkEnd w:id="0"/>
      <w:bookmarkEnd w:id="16"/>
    </w:p>
    <w:sectPr w:rsidR="003F53DC" w:rsidRPr="00D94C81" w:rsidSect="000C688A">
      <w:footnotePr>
        <w:numRestart w:val="eachSect"/>
      </w:footnotePr>
      <w:pgSz w:w="12240" w:h="15840"/>
      <w:pgMar w:top="1985" w:right="1418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A15" w:rsidRDefault="00974A15">
      <w:pPr>
        <w:spacing w:after="0"/>
      </w:pPr>
      <w:r>
        <w:separator/>
      </w:r>
    </w:p>
  </w:endnote>
  <w:endnote w:type="continuationSeparator" w:id="0">
    <w:p w:rsidR="00974A15" w:rsidRDefault="00974A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A15" w:rsidRDefault="00974A15">
      <w:pPr>
        <w:spacing w:after="0"/>
      </w:pPr>
      <w:r>
        <w:separator/>
      </w:r>
    </w:p>
  </w:footnote>
  <w:footnote w:type="continuationSeparator" w:id="0">
    <w:p w:rsidR="00974A15" w:rsidRDefault="00974A15">
      <w:pPr>
        <w:spacing w:after="0"/>
      </w:pPr>
      <w:r>
        <w:continuationSeparator/>
      </w:r>
    </w:p>
  </w:footnote>
  <w:footnote w:id="1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World Heart Federation. (2023). World Heart Report 2023.</w:t>
      </w:r>
    </w:p>
  </w:footnote>
  <w:footnote w:id="2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World Health Organization. (2023). Global report on hypertension: the race against a silent killer. WHO.</w:t>
      </w:r>
    </w:p>
  </w:footnote>
  <w:footnote w:id="3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</w:t>
      </w:r>
      <w:r>
        <w:t xml:space="preserve">Ohira, T., &amp; Iso, H. (2013). Cardiovascular disease epidemiology in Asia. </w:t>
      </w:r>
      <w:r>
        <w:rPr>
          <w:i/>
          <w:iCs/>
        </w:rPr>
        <w:t>Circulation Journal</w:t>
      </w:r>
      <w:r>
        <w:t>, 77(7), 1646-1652. ; JACC: Asia (2021). Epidemiological Features of Cardiovascular Disease in Asia.</w:t>
      </w:r>
    </w:p>
  </w:footnote>
  <w:footnote w:id="4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Kim, H. S., et al. (2025). Metabolic diseases in the East As</w:t>
      </w:r>
      <w:r>
        <w:t xml:space="preserve">ian populations. </w:t>
      </w:r>
      <w:r>
        <w:rPr>
          <w:i/>
          <w:iCs/>
        </w:rPr>
        <w:t>Nature Reviews Endocrinology</w:t>
      </w:r>
      <w:r>
        <w:t>.</w:t>
      </w:r>
    </w:p>
  </w:footnote>
  <w:footnote w:id="5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Ohira, T., &amp; Iso, H. (2013). Cardiovascular disease epidemiology in Asia. </w:t>
      </w:r>
      <w:r>
        <w:rPr>
          <w:i/>
          <w:iCs/>
        </w:rPr>
        <w:t>Circulation Journal</w:t>
      </w:r>
      <w:r>
        <w:t>, 77(7), 1646-1652. ; JACC: Asia (2021). Epidemiological Features of Cardiovascular Disease in Asia.</w:t>
      </w:r>
    </w:p>
  </w:footnote>
  <w:footnote w:id="6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國民健康署（</w:t>
      </w:r>
      <w:r>
        <w:rPr>
          <w:rFonts w:hint="eastAsia"/>
        </w:rPr>
        <w:t>2022</w:t>
      </w:r>
      <w:r>
        <w:rPr>
          <w:rFonts w:hint="eastAsia"/>
        </w:rPr>
        <w:t>）</w:t>
      </w:r>
      <w:r>
        <w:rPr>
          <w:rFonts w:hint="eastAsia"/>
        </w:rPr>
        <w:t>。</w:t>
      </w:r>
      <w:r>
        <w:rPr>
          <w:rFonts w:hint="eastAsia"/>
        </w:rPr>
        <w:t>2017-2020</w:t>
      </w:r>
      <w:r>
        <w:t xml:space="preserve"> </w:t>
      </w:r>
      <w:r>
        <w:rPr>
          <w:rFonts w:hint="eastAsia"/>
        </w:rPr>
        <w:t>國民營養健康狀況變遷調查。衛生福利部。</w:t>
      </w:r>
    </w:p>
  </w:footnote>
  <w:footnote w:id="7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國民健康署（</w:t>
      </w:r>
      <w:r>
        <w:rPr>
          <w:rFonts w:hint="eastAsia"/>
        </w:rPr>
        <w:t>2022</w:t>
      </w:r>
      <w:r>
        <w:rPr>
          <w:rFonts w:hint="eastAsia"/>
        </w:rPr>
        <w:t>）。</w:t>
      </w:r>
      <w:r>
        <w:rPr>
          <w:rFonts w:hint="eastAsia"/>
        </w:rPr>
        <w:t>2017-2020</w:t>
      </w:r>
      <w:r>
        <w:t xml:space="preserve"> </w:t>
      </w:r>
      <w:r>
        <w:rPr>
          <w:rFonts w:hint="eastAsia"/>
        </w:rPr>
        <w:t>國民營養健康狀況變遷調查。衛生福利部。</w:t>
      </w:r>
    </w:p>
  </w:footnote>
  <w:footnote w:id="8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Jacobs, M. J., et al. (2005). Coronary heart disease risk factors, metabolic syndrome and hypertension. </w:t>
      </w:r>
      <w:r>
        <w:rPr>
          <w:i/>
          <w:iCs/>
        </w:rPr>
        <w:t>Current Opinion in Cardiology</w:t>
      </w:r>
      <w:r>
        <w:t>, 20(4), 270-274. ; Patti, A. M., et al. (2023</w:t>
      </w:r>
      <w:r>
        <w:t xml:space="preserve">). Links between metabolic syndrome and hypertension. </w:t>
      </w:r>
      <w:r>
        <w:rPr>
          <w:i/>
          <w:iCs/>
        </w:rPr>
        <w:t>Journal of Cardiovascular Development and Disease</w:t>
      </w:r>
      <w:r>
        <w:t>, 10(1), 20.</w:t>
      </w:r>
    </w:p>
  </w:footnote>
  <w:footnote w:id="9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Alberti, K. G., et al. (2009). Harmonizing the metabolic syndrome. </w:t>
      </w:r>
      <w:r>
        <w:rPr>
          <w:i/>
          <w:iCs/>
        </w:rPr>
        <w:t>Circulation</w:t>
      </w:r>
      <w:r>
        <w:t>, 120(16), 1640-1645.</w:t>
      </w:r>
    </w:p>
  </w:footnote>
  <w:footnote w:id="10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國民健康署（</w:t>
      </w:r>
      <w:r>
        <w:rPr>
          <w:rFonts w:hint="eastAsia"/>
        </w:rPr>
        <w:t>2022</w:t>
      </w:r>
      <w:r>
        <w:rPr>
          <w:rFonts w:hint="eastAsia"/>
        </w:rPr>
        <w:t>）。</w:t>
      </w:r>
      <w:r>
        <w:rPr>
          <w:rFonts w:hint="eastAsia"/>
        </w:rPr>
        <w:t>2017-2020</w:t>
      </w:r>
      <w:r>
        <w:t xml:space="preserve"> </w:t>
      </w:r>
      <w:r>
        <w:rPr>
          <w:rFonts w:hint="eastAsia"/>
        </w:rPr>
        <w:t>國民營養健康狀況變遷調查。衛</w:t>
      </w:r>
      <w:r>
        <w:rPr>
          <w:rFonts w:hint="eastAsia"/>
        </w:rPr>
        <w:t>生福利部。</w:t>
      </w:r>
    </w:p>
  </w:footnote>
  <w:footnote w:id="11">
    <w:p w:rsidR="003F53DC" w:rsidRDefault="00974A15">
      <w:pPr>
        <w:pStyle w:val="ab"/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國民健康署（</w:t>
      </w:r>
      <w:r>
        <w:rPr>
          <w:rFonts w:hint="eastAsia"/>
        </w:rPr>
        <w:t>2025</w:t>
      </w:r>
      <w:r>
        <w:rPr>
          <w:rFonts w:hint="eastAsia"/>
        </w:rPr>
        <w:t>）。成人預防保健服務擴大至</w:t>
      </w:r>
      <w:r>
        <w:t xml:space="preserve"> 30 </w:t>
      </w:r>
      <w:r>
        <w:rPr>
          <w:rFonts w:hint="eastAsia"/>
        </w:rPr>
        <w:t>歲公告。衛生福利部。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69477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23CA0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F014E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170CD2DE"/>
    <w:multiLevelType w:val="multilevel"/>
    <w:tmpl w:val="B534063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3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9253F"/>
    <w:rsid w:val="000C688A"/>
    <w:rsid w:val="002D44E1"/>
    <w:rsid w:val="003F53DC"/>
    <w:rsid w:val="0069253F"/>
    <w:rsid w:val="008D1BC4"/>
    <w:rsid w:val="00974A15"/>
    <w:rsid w:val="00C73B26"/>
    <w:rsid w:val="00D9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紀伯喬</cp:lastModifiedBy>
  <cp:revision>2</cp:revision>
  <dcterms:created xsi:type="dcterms:W3CDTF">2026-01-29T09:14:00Z</dcterms:created>
  <dcterms:modified xsi:type="dcterms:W3CDTF">2026-01-29T09:17:00Z</dcterms:modified>
</cp:coreProperties>
</file>