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3.png" ContentType="image/png"/>
  <Override PartName="/word/media/rId50.png" ContentType="image/png"/>
  <Override PartName="/word/media/rId61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5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基於實例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核方法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神經網路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LightGBM（0.730）。傳統統計方法中，LR（0.721）與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bookmarkEnd w:id="24"/>
    <w:bookmarkEnd w:id="25"/>
    <w:bookmarkStart w:id="34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29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6-5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ΔBMI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ures/fig4-2_shap_compari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29"/>
    <w:bookmarkStart w:id="33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6-6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 (ΔeGFR, ΔTC, ΔFBG, ΔUA, ΔBMI)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4-3_shap_beeswar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3"/>
    <w:bookmarkEnd w:id="34"/>
    <w:bookmarkStart w:id="41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5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特徵的預測價值，本研究設計兩組比較框架：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bookmarkEnd w:id="35"/>
    <w:bookmarkStart w:id="36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6-7）。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</w:tbl>
    <w:bookmarkEnd w:id="36"/>
    <w:bookmarkStart w:id="40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特徵可帶來顯著提升（表</w:t>
      </w:r>
      <w:r>
        <w:t xml:space="preserve"> </w:t>
      </w:r>
      <w:r>
        <w:rPr>
          <w:rFonts w:hint="eastAsia"/>
        </w:rPr>
        <w:t xml:space="preserve">6-8）。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fig4-4_delta_abl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0"/>
    <w:bookmarkEnd w:id="41"/>
    <w:bookmarkStart w:id="47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2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2"/>
    <w:bookmarkStart w:id="46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6-9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figures/fig4-5_feature_selec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6"/>
    <w:bookmarkEnd w:id="47"/>
    <w:bookmarkStart w:id="55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48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48"/>
    <w:bookmarkStart w:id="49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6-10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49"/>
    <w:bookmarkStart w:id="53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0.74-0.85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3"/>
    <w:bookmarkStart w:id="54" w:name="實驗結論"/>
    <w:p>
      <w:pPr>
        <w:pStyle w:val="3"/>
      </w:pPr>
      <w:r>
        <w:t xml:space="preserve">6.5.4 </w:t>
      </w:r>
      <w:r>
        <w:rPr>
          <w:rFonts w:hint="eastAsia"/>
        </w:rPr>
        <w:t xml:space="preserve">實驗結論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類別不平衡處理不改變模型判別力</w:t>
      </w:r>
      <w:r>
        <w:rPr>
          <w:rFonts w:hint="eastAsia"/>
        </w:rPr>
        <w:t xml:space="preserve">：無論是否處理，AUC</w:t>
      </w:r>
      <w:r>
        <w:t xml:space="preserve"> </w:t>
      </w:r>
      <w:r>
        <w:rPr>
          <w:rFonts w:hint="eastAsia"/>
        </w:rPr>
        <w:t xml:space="preserve">差異均</w:t>
      </w:r>
      <w:r>
        <w:t xml:space="preserve"> &lt; </w:t>
      </w:r>
      <w:r>
        <w:rPr>
          <w:rFonts w:hint="eastAsia"/>
        </w:rPr>
        <w:t xml:space="preserve">0.2%，但未處理時</w:t>
      </w:r>
      <w:r>
        <w:t xml:space="preserve"> Sensitivity </w:t>
      </w:r>
      <w:r>
        <w:rPr>
          <w:rFonts w:hint="eastAsia"/>
        </w:rPr>
        <w:t xml:space="preserve">極低（0.04-0.34），不具臨床實用性。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處理方法間無顯著差異</w:t>
      </w:r>
      <w:r>
        <w:rPr>
          <w:rFonts w:hint="eastAsia"/>
        </w:rPr>
        <w:t xml:space="preserve">：class_weight、SMOTE、ADASYN、RandomUnderSampler</w:t>
      </w:r>
      <w:r>
        <w:t xml:space="preserve"> </w:t>
      </w:r>
      <w:r>
        <w:rPr>
          <w:rFonts w:hint="eastAsia"/>
        </w:rPr>
        <w:t xml:space="preserve">效果等同（差異</w:t>
      </w:r>
      <w:r>
        <w:t xml:space="preserve"> &lt; </w:t>
      </w:r>
      <w:r>
        <w:rPr>
          <w:rFonts w:hint="eastAsia"/>
        </w:rPr>
        <w:t xml:space="preserve">2%）。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class_weight=</w:t>
      </w:r>
      <w:r>
        <w:rPr>
          <w:b/>
          <w:bCs/>
        </w:rPr>
        <w:t xml:space="preserve">‘balanced’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為最佳實務選擇</w:t>
      </w:r>
      <w:r>
        <w:rPr>
          <w:rFonts w:hint="eastAsia"/>
        </w:rPr>
        <w:t xml:space="preserve">：實作簡便、無需生成合成樣本、不改變資料分佈，Sensitivity</w:t>
      </w:r>
      <w:r>
        <w:t xml:space="preserve"> </w:t>
      </w:r>
      <w:r>
        <w:rPr>
          <w:rFonts w:hint="eastAsia"/>
        </w:rPr>
        <w:t xml:space="preserve">可提升至</w:t>
      </w:r>
      <w:r>
        <w:t xml:space="preserve"> 0.74-0.85。</w:t>
      </w:r>
    </w:p>
    <w:bookmarkEnd w:id="54"/>
    <w:bookmarkEnd w:id="55"/>
    <w:bookmarkStart w:id="59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6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資料集中部分滑動窗口樣本的起點（Y-2）已有目標疾病，這些「非新發」個案是否應該排除？本研究設計三組比較策略：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A（目前做法）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：排除首次健檢（Times=1）已確診的個案。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已有目標疾病的樣本。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(2024)：高血壓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</w:t>
      </w:r>
      <w:r>
        <w:rPr>
          <w:rFonts w:hint="eastAsia"/>
        </w:rPr>
        <w:t xml:space="preserve">mmol/L。由於原始資料集在首次健檢（Times=1）時疾病率幾乎為</w:t>
      </w:r>
      <w:r>
        <w:t xml:space="preserve"> </w:t>
      </w:r>
      <w:r>
        <w:rPr>
          <w:rFonts w:hint="eastAsia"/>
        </w:rPr>
        <w:t xml:space="preserve">0%（Luo</w:t>
      </w:r>
      <w:r>
        <w:t xml:space="preserve"> et al. 2024 </w:t>
      </w:r>
      <w:r>
        <w:rPr>
          <w:rFonts w:hint="eastAsia"/>
        </w:rPr>
        <w:t xml:space="preserve">已隱含基線健康篩選），策略</w:t>
      </w:r>
      <w:r>
        <w:t xml:space="preserve"> B </w:t>
      </w:r>
      <w:r>
        <w:rPr>
          <w:rFonts w:hint="eastAsia"/>
        </w:rPr>
        <w:t xml:space="preserve">與策略</w:t>
      </w:r>
      <w:r>
        <w:t xml:space="preserve"> A </w:t>
      </w:r>
      <w:r>
        <w:rPr>
          <w:rFonts w:hint="eastAsia"/>
        </w:rPr>
        <w:t xml:space="preserve">實質上無差異，因此本實驗聚焦於比較策略</w:t>
      </w:r>
      <w:r>
        <w:t xml:space="preserve"> A </w:t>
      </w:r>
      <w:r>
        <w:rPr>
          <w:rFonts w:hint="eastAsia"/>
        </w:rPr>
        <w:t xml:space="preserve">與策略</w:t>
      </w:r>
      <w:r>
        <w:t xml:space="preserve"> C。</w:t>
      </w:r>
    </w:p>
    <w:bookmarkEnd w:id="56"/>
    <w:bookmarkStart w:id="57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呈現各疾病在策略</w:t>
      </w:r>
      <w:r>
        <w:t xml:space="preserve"> C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bookmarkEnd w:id="57"/>
    <w:bookmarkStart w:id="58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bookmarkEnd w:id="58"/>
    <w:bookmarkEnd w:id="59"/>
    <w:bookmarkStart w:id="65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0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0"/>
    <w:bookmarkStart w:id="64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ures/fig4-7_checkup_frequenc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bookmarkEnd w:id="64"/>
    <w:bookmarkEnd w:id="65"/>
    <w:bookmarkStart w:id="68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Q3（多任務學習的效果）——同時預測三高疾病是否優於分別預測單一疾病？</w:t>
      </w:r>
    </w:p>
    <w:bookmarkStart w:id="66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MTL）架構同時預測。為評估</w:t>
      </w:r>
      <w:r>
        <w:t xml:space="preserve"> MTL </w:t>
      </w:r>
      <w:r>
        <w:rPr>
          <w:rFonts w:hint="eastAsia"/>
        </w:rPr>
        <w:t xml:space="preserve">是否優於獨立訓練三個模型的單任務學習（Single-Task</w:t>
      </w:r>
      <w:r>
        <w:t xml:space="preserve"> Learning, </w:t>
      </w:r>
      <w:r>
        <w:rPr>
          <w:rFonts w:hint="eastAsia"/>
        </w:rPr>
        <w:t xml:space="preserve">STL），本研究設計以下比較實驗：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66"/>
    <w:bookmarkStart w:id="67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0.734 ± 0.020</w:t>
            </w:r>
          </w:p>
        </w:tc>
        <w:tc>
          <w:tcPr/>
          <w:p>
            <w:pPr>
              <w:pStyle w:val="Compact"/>
            </w:pPr>
            <w:r>
              <w:t xml:space="preserve">0.742 ± 0.020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0.932 ± 0.007</w:t>
            </w:r>
          </w:p>
        </w:tc>
        <w:tc>
          <w:tcPr/>
          <w:p>
            <w:pPr>
              <w:pStyle w:val="Compact"/>
            </w:pPr>
            <w:r>
              <w:t xml:space="preserve">0.933 ± 0.007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0.868 ± 0.009</w:t>
            </w:r>
          </w:p>
        </w:tc>
        <w:tc>
          <w:tcPr/>
          <w:p>
            <w:pPr>
              <w:pStyle w:val="Compact"/>
            </w:pPr>
            <w:r>
              <w:t xml:space="preserve">0.869 ± 0.010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-0.3%</w:t>
            </w:r>
          </w:p>
        </w:tc>
      </w:tr>
    </w:tbl>
    <w:bookmarkEnd w:id="67"/>
    <w:bookmarkEnd w:id="68"/>
    <w:bookmarkStart w:id="71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69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20、迭代次數</w:t>
      </w:r>
      <w:r>
        <w:t xml:space="preserve"> </w:t>
      </w:r>
      <w:r>
        <w:rPr>
          <w:rFonts w:hint="eastAsia"/>
        </w:rPr>
        <w:t xml:space="preserve">100、運算子包含</w:t>
      </w:r>
      <w:r>
        <w:t xml:space="preserve"> +、-、*、/、exp。</w:t>
      </w:r>
    </w:p>
    <w:bookmarkEnd w:id="69"/>
    <w:bookmarkStart w:id="70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6-15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最後更新：2026-02-24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0"/>
    <w:bookmarkEnd w:id="71"/>
    <w:bookmarkEnd w:id="72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2026-02-28T01:23:14Z</dcterms:created>
  <dcterms:modified xsi:type="dcterms:W3CDTF">2026-02-28T01:23:14Z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