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中文摘要"/>
    <w:p>
      <w:pPr>
        <w:pStyle w:val="1"/>
      </w:pPr>
      <w:r>
        <w:rPr>
          <w:rFonts w:hint="eastAsia"/>
        </w:rPr>
        <w:t xml:space="preserve">中文摘要</w:t>
      </w:r>
    </w:p>
    <w:p>
      <w:pPr>
        <w:pStyle w:val="FirstParagraph"/>
      </w:pPr>
      <w:r>
        <w:rPr>
          <w:rFonts w:hint="eastAsia"/>
          <w:b/>
          <w:bCs/>
        </w:rPr>
        <w:t xml:space="preserve">論文題目</w:t>
      </w:r>
      <w:r>
        <w:rPr>
          <w:rFonts w:hint="eastAsia"/>
        </w:rPr>
        <w:t xml:space="preserve">：三高疾病風險預測：多模型比較研究</w:t>
      </w:r>
    </w:p>
    <w:p>
      <w:pPr>
        <w:pStyle w:val="a0"/>
      </w:pPr>
      <w:r>
        <w:rPr>
          <w:rFonts w:hint="eastAsia"/>
        </w:rPr>
        <w:t xml:space="preserve">三高疾病（高血壓、高血糖、高血脂）是全球主要的慢性疾病，也是心血管疾病的關鍵可控風險因子。然而，現有風險評估方法多仰賴單一時間點的檢驗數據，未能充分利用縱向健檢資料中蘊含的動態資訊。</w:t>
      </w:r>
    </w:p>
    <w:p>
      <w:pPr>
        <w:pStyle w:val="a0"/>
      </w:pPr>
      <w:r>
        <w:rPr>
          <w:rFonts w:hint="eastAsia"/>
        </w:rPr>
        <w:t xml:space="preserve">本研究使用公開於</w:t>
      </w:r>
      <w:r>
        <w:t xml:space="preserve"> Dryad </w:t>
      </w:r>
      <w:r>
        <w:rPr>
          <w:rFonts w:hint="eastAsia"/>
        </w:rPr>
        <w:t xml:space="preserve">資料庫的縱向健檢資料集（Luo</w:t>
      </w:r>
      <w:r>
        <w:t xml:space="preserve"> et al., </w:t>
      </w:r>
      <w:r>
        <w:rPr>
          <w:rFonts w:hint="eastAsia"/>
        </w:rPr>
        <w:t xml:space="preserve">2024），涵蓋</w:t>
      </w:r>
      <w:r>
        <w:t xml:space="preserve"> 6,056 </w:t>
      </w:r>
      <w:r>
        <w:rPr>
          <w:rFonts w:hint="eastAsia"/>
        </w:rPr>
        <w:t xml:space="preserve">位</w:t>
      </w:r>
      <w:r>
        <w:t xml:space="preserve"> 40 </w:t>
      </w:r>
      <w:r>
        <w:rPr>
          <w:rFonts w:hint="eastAsia"/>
        </w:rPr>
        <w:t xml:space="preserve">歲以上社區成人，追蹤期間為</w:t>
      </w:r>
      <w:r>
        <w:t xml:space="preserve"> 2010 </w:t>
      </w:r>
      <w:r>
        <w:rPr>
          <w:rFonts w:hint="eastAsia"/>
        </w:rPr>
        <w:t xml:space="preserve">至</w:t>
      </w:r>
      <w:r>
        <w:t xml:space="preserve"> 2018 </w:t>
      </w:r>
      <w:r>
        <w:rPr>
          <w:rFonts w:hint="eastAsia"/>
        </w:rPr>
        <w:t xml:space="preserve">年。研究採用三時間點縱貫設計（Y-2、Y-1、Y0），以健檢指標及其變化量特徵（Delta</w:t>
      </w:r>
      <w:r>
        <w:t xml:space="preserve"> Features, Δ </w:t>
      </w:r>
      <w:r>
        <w:rPr>
          <w:rFonts w:hint="eastAsia"/>
        </w:rPr>
        <w:t xml:space="preserve">特徵）預測三高疾病狀態，透過滑動窗口法產生</w:t>
      </w:r>
      <w:r>
        <w:t xml:space="preserve"> 13,514 </w:t>
      </w:r>
      <w:r>
        <w:rPr>
          <w:rFonts w:hint="eastAsia"/>
        </w:rPr>
        <w:t xml:space="preserve">筆建模紀錄。本研究系統性比較十種模型（傳統統計、基於實例、樹模型、核方法及神經網路），並以符號回歸</w:t>
      </w:r>
      <w:r>
        <w:t xml:space="preserve"> (Symbolic Regression) </w:t>
      </w:r>
      <w:r>
        <w:rPr>
          <w:rFonts w:hint="eastAsia"/>
        </w:rPr>
        <w:t xml:space="preserve">探討可解釋性，實驗採用分層分組五折交叉驗證</w:t>
      </w:r>
      <w:r>
        <w:t xml:space="preserve"> (StratifiedGroupKFold) </w:t>
      </w:r>
      <w:r>
        <w:rPr>
          <w:rFonts w:hint="eastAsia"/>
        </w:rPr>
        <w:t xml:space="preserve">確保無資料洩漏。</w:t>
      </w:r>
    </w:p>
    <w:p>
      <w:pPr>
        <w:pStyle w:val="a0"/>
      </w:pPr>
      <w:r>
        <w:rPr>
          <w:rFonts w:hint="eastAsia"/>
        </w:rPr>
        <w:t xml:space="preserve">主要研究發現：（1）邏輯迴歸</w:t>
      </w:r>
      <w:r>
        <w:t xml:space="preserve"> (Logistic Regression) </w:t>
      </w:r>
      <w:r>
        <w:rPr>
          <w:rFonts w:hint="eastAsia"/>
        </w:rPr>
        <w:t xml:space="preserve">表現穩定優異，高血糖預測曲線下面積</w:t>
      </w:r>
      <w:r>
        <w:t xml:space="preserve"> (Area Under the Curve, AUC) </w:t>
      </w:r>
      <w:r>
        <w:rPr>
          <w:rFonts w:hint="eastAsia"/>
        </w:rPr>
        <w:t xml:space="preserve">達</w:t>
      </w:r>
      <w:r>
        <w:t xml:space="preserve"> </w:t>
      </w:r>
      <w:r>
        <w:rPr>
          <w:rFonts w:hint="eastAsia"/>
        </w:rPr>
        <w:t xml:space="preserve">0.938；（2）縱向健檢資料的累積有助於提升預測性能：健檢次數與</w:t>
      </w:r>
      <w:r>
        <w:t xml:space="preserve"> AUC </w:t>
      </w:r>
      <w:r>
        <w:rPr>
          <w:rFonts w:hint="eastAsia"/>
        </w:rPr>
        <w:t xml:space="preserve">呈正向關係（如高血壓由</w:t>
      </w:r>
      <w:r>
        <w:t xml:space="preserve"> 0.676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0.835）；（3）SHAP</w:t>
      </w:r>
      <w:r>
        <w:t xml:space="preserve"> (SHapley Additive exPlanations) </w:t>
      </w:r>
      <w:r>
        <w:rPr>
          <w:rFonts w:hint="eastAsia"/>
        </w:rPr>
        <w:t xml:space="preserve">分析揭示疾病特異性預測因子；（4）符號回歸發現極簡公式即可達到</w:t>
      </w:r>
      <w:r>
        <w:t xml:space="preserve"> AUC </w:t>
      </w:r>
      <w:r>
        <w:rPr>
          <w:rFonts w:hint="eastAsia"/>
        </w:rPr>
        <w:t xml:space="preserve">0.943；（5）僅用前兩大特徵，AUC</w:t>
      </w:r>
      <w:r>
        <w:t xml:space="preserve"> </w:t>
      </w:r>
      <w:r>
        <w:rPr>
          <w:rFonts w:hint="eastAsia"/>
        </w:rPr>
        <w:t xml:space="preserve">降幅仍在</w:t>
      </w:r>
      <w:r>
        <w:t xml:space="preserve"> 1.5% </w:t>
      </w:r>
      <w:r>
        <w:rPr>
          <w:rFonts w:hint="eastAsia"/>
        </w:rPr>
        <w:t xml:space="preserve">以內。</w:t>
      </w:r>
    </w:p>
    <w:p>
      <w:pPr>
        <w:pStyle w:val="a0"/>
      </w:pPr>
      <w:r>
        <w:rPr>
          <w:rFonts w:hint="eastAsia"/>
        </w:rPr>
        <w:t xml:space="preserve">本研究證實：以縱向健檢資料透過簡單特徵工程與線性模型，即可達到臨床可用的預測性能，適合在基層醫療單位實施早期預警系統。</w:t>
      </w:r>
    </w:p>
    <w:p>
      <w:pPr>
        <w:pStyle w:val="a0"/>
      </w:pPr>
      <w:r>
        <w:rPr>
          <w:rFonts w:hint="eastAsia"/>
          <w:b/>
          <w:bCs/>
        </w:rPr>
        <w:t xml:space="preserve">關鍵詞</w:t>
      </w:r>
      <w:r>
        <w:rPr>
          <w:rFonts w:hint="eastAsia"/>
        </w:rPr>
        <w:t xml:space="preserve">：三高疾病、機器學習、縱向資料、變化量特徵、SHAP</w:t>
      </w:r>
      <w:r>
        <w:t xml:space="preserve"> </w:t>
      </w:r>
      <w:r>
        <w:rPr>
          <w:rFonts w:hint="eastAsia"/>
        </w:rPr>
        <w:t xml:space="preserve">可解釋性、符號回歸</w:t>
      </w:r>
    </w:p>
    <w:bookmarkEnd w:id="18"/>
    <w:sectPr w:rsidR="006D3225" w:rsidRPr="00BE2F6E" w:rsidSect="000C688A">
      <w:footnotePr>
        <w:numRestart w:val="eachSect"/>
      </w:footnotePr>
      <w:pgSz w:h="15840" w:w="12240"/>
      <w:pgMar w:bottom="1418" w:footer="720" w:gutter="0" w:header="720" w:left="1701" w:right="1418" w:top="1985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1"/>
    <w:multiLevelType w:val="multilevel"/>
    <w:tmpl w:val="55A042E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A99411"/>
    <w:multiLevelType w:val="multilevel"/>
    <w:tmpl w:val="0936ADC0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53F"/>
    <w:rsid w:val="000C688A"/>
    <w:rsid w:val="002D44E1"/>
    <w:rsid w:val="0069253F"/>
    <w:rsid w:val="006D3225"/>
    <w:rsid w:val="008D1BC4"/>
    <w:rsid w:val="00A2729A"/>
    <w:rsid w:val="00A75A56"/>
    <w:rsid w:val="00B8724B"/>
    <w:rsid w:val="00BE2F6E"/>
    <w:rsid w:val="00C2227C"/>
    <w:rsid w:val="00C73B26"/>
    <w:rsid w:val="00D70EEA"/>
    <w:rsid w:val="00E16716"/>
    <w:rsid w:val="00F90F98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標題 字元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標題 字元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標題 1 字元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標題 2 字元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標題 3 字元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標題 4 字元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標題 5 字元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標題 6 字元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標題 7 字元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標題 8 字元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標題 9 字元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標號 字元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Balloon Text"/>
    <w:basedOn w:val="a"/>
    <w:link w:val="af2"/>
    <w:rsid w:val="00A2729A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customStyle="1" w:styleId="af2" w:type="character">
    <w:name w:val="註解方塊文字 字元"/>
    <w:basedOn w:val="a1"/>
    <w:link w:val="af1"/>
    <w:rsid w:val="00A2729A"/>
    <w:rPr>
      <w:rFonts w:asciiTheme="majorHAnsi" w:cstheme="majorBidi" w:eastAsiaTheme="majorEastAsia" w:hAnsiTheme="majorHAnsi"/>
      <w:sz w:val="18"/>
      <w:szCs w:val="18"/>
    </w:rPr>
  </w:style>
  <w:style w:styleId="af3" w:type="paragraph">
    <w:name w:val="header"/>
    <w:basedOn w:val="a"/>
    <w:link w:val="af4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4" w:type="character">
    <w:name w:val="頁首 字元"/>
    <w:basedOn w:val="a1"/>
    <w:link w:val="af3"/>
    <w:rsid w:val="00BE2F6E"/>
    <w:rPr>
      <w:sz w:val="20"/>
      <w:szCs w:val="20"/>
    </w:rPr>
  </w:style>
  <w:style w:styleId="af5" w:type="paragraph">
    <w:name w:val="footer"/>
    <w:basedOn w:val="a"/>
    <w:link w:val="af6"/>
    <w:unhideWhenUsed/>
    <w:rsid w:val="00BE2F6E"/>
    <w:pPr>
      <w:tabs>
        <w:tab w:pos="4153" w:val="center"/>
        <w:tab w:pos="8306" w:val="right"/>
      </w:tabs>
      <w:snapToGrid w:val="0"/>
    </w:pPr>
    <w:rPr>
      <w:sz w:val="20"/>
      <w:szCs w:val="20"/>
    </w:rPr>
  </w:style>
  <w:style w:customStyle="1" w:styleId="af6" w:type="character">
    <w:name w:val="頁尾 字元"/>
    <w:basedOn w:val="a1"/>
    <w:link w:val="af5"/>
    <w:rsid w:val="00BE2F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9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2026-03-11T06:24:11Z</dcterms:created>
  <dcterms:modified xsi:type="dcterms:W3CDTF">2026-03-11T06:24:11Z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