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bstract"/>
    <w:p>
      <w:pPr>
        <w:pStyle w:val="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Risk Prediction of Hypertension, Hyperglycemia, and Dyslipidemia: A Multi-Model Comparative Study</w:t>
      </w:r>
    </w:p>
    <w:p>
      <w:pPr>
        <w:pStyle w:val="a0"/>
      </w:pPr>
      <w:r>
        <w:t xml:space="preserve">Hypertension, hyperglycemia, and dyslipidemia—collectively known as the</w:t>
      </w:r>
      <w:r>
        <w:t xml:space="preserve"> </w:t>
      </w:r>
      <w:r>
        <w:t xml:space="preserve">“three highs”</w:t>
      </w:r>
      <w:r>
        <w:t xml:space="preserve">—are major chronic diseases and key modifiable risk factors for cardiovascular disease. Conventional risk assessment methods rely on single-timepoint data, failing to capture the dynamic health trajectories embedded in longitudinal records.</w:t>
      </w:r>
    </w:p>
    <w:p>
      <w:pPr>
        <w:pStyle w:val="a0"/>
      </w:pPr>
      <w:r>
        <w:t xml:space="preserve">We utilized a publicly available longitudinal dataset (Luo et al., 2024) comprising 6,056 adults aged 40+ followed from 2010 to 2018. A three-timepoint design (Y-2, Y-1, Y0) was adopted, using health indicators and delta features (Δ) to predict disease status. A sliding window approach generated 13,514 records. Ten models (traditional statistics, instance-based, tree-based, kernel methods, and neural network) were compared, with symbolic regression exploring interpretability. StratifiedGroupKFold 5-fold cross-validation ensured no data leakage.</w:t>
      </w:r>
    </w:p>
    <w:p>
      <w:pPr>
        <w:pStyle w:val="a0"/>
      </w:pPr>
      <w:r>
        <w:t xml:space="preserve">Key findings: (1) Logistic Regression achieved an Area Under the Curve (AUC) of 0.938 for hyperglycemia; (2) accumulating more checkup records improved prediction performance, with AUC positively correlated with checkup frequency (e.g., hypertension AUC increased from 0.676 to 0.835); (3) SHapley Additive exPlanations (SHAP) revealed disease-specific predictors; (4) symbolic regression achieved AUC 0.943 with a minimal formula; (5) using only the top 2 features, AUC decrease remained within 1.5%.</w:t>
      </w:r>
    </w:p>
    <w:p>
      <w:pPr>
        <w:pStyle w:val="a0"/>
      </w:pPr>
      <w:r>
        <w:t xml:space="preserve">This study demonstrates that longitudinal health checkup data with simple feature engineering can achieve clinically useful predictions, suitable for early warning systems in primary healthcare.</w:t>
      </w:r>
    </w:p>
    <w:p>
      <w:pPr>
        <w:pStyle w:val="a0"/>
      </w:pPr>
      <w:r>
        <w:rPr>
          <w:b/>
          <w:bCs/>
        </w:rPr>
        <w:t xml:space="preserve">Keywords</w:t>
      </w:r>
      <w:r>
        <w:t xml:space="preserve">: Hypertension, Hyperglycemia, Dyslipidemia, Machine Learning, Longitudinal Data, Delta Features, SHAP, Symbolic Regression</w:t>
      </w:r>
    </w:p>
    <w:bookmarkEnd w:id="18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2026-03-11T06:24:15Z</dcterms:created>
  <dcterms:modified xsi:type="dcterms:W3CDTF">2026-03-11T06:24:15Z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