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image1.png" ContentType="image/png"/>
  <Override PartName="/word/media/image2.png" ContentType="image/png"/>
  <Override PartName="/word/media/image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第三章-問題定義"/>
    <w:p>
      <w:pPr>
        <w:pStyle w:val="1"/>
      </w:pPr>
      <w:r>
        <w:rPr>
          <w:rFonts w:hint="eastAsia"/>
        </w:rPr>
        <w:t xml:space="preserve">第三章</w:t>
      </w:r>
      <w:r>
        <w:t xml:space="preserve"> </w:t>
      </w:r>
      <w:r>
        <w:rPr>
          <w:rFonts w:hint="eastAsia"/>
        </w:rPr>
        <w:t xml:space="preserve">問題定義</w:t>
      </w:r>
    </w:p>
    <w:p>
      <w:pPr>
        <w:pStyle w:val="FirstParagraph"/>
      </w:pPr>
      <w:r>
        <w:rPr>
          <w:rFonts w:hint="eastAsia"/>
        </w:rPr>
        <w:t xml:space="preserve">本章定義本研究欲解決的具體問題，包括現有方法的限制、核心與具體研究問題，以及數學化的問題形式定義。</w:t>
      </w:r>
    </w:p>
    <w:bookmarkStart w:id="18" w:name="現有預測方法的限制"/>
    <w:p>
      <w:pPr>
        <w:pStyle w:val="2"/>
      </w:pPr>
      <w:r>
        <w:t xml:space="preserve">3.1 </w:t>
      </w:r>
      <w:r>
        <w:rPr>
          <w:rFonts w:hint="eastAsia"/>
        </w:rPr>
        <w:t xml:space="preserve">現有預測方法的限制</w:t>
      </w:r>
    </w:p>
    <w:p>
      <w:pPr>
        <w:pStyle w:val="FirstParagraph"/>
      </w:pPr>
      <w:r>
        <w:rPr>
          <w:rFonts w:hint="eastAsia"/>
        </w:rPr>
        <w:t xml:space="preserve">目前常見的三高疾病風險評估方法存在以下三大限制：</w:t>
      </w:r>
    </w:p>
    <w:p>
      <w:pPr>
        <w:pStyle w:val="a0"/>
      </w:pPr>
      <w:r>
        <w:rPr>
          <w:rFonts w:hint="eastAsia"/>
          <w:b/>
          <w:bCs/>
        </w:rPr>
        <w:t xml:space="preserve">限制一：單時間點評估</w:t>
      </w:r>
    </w:p>
    <w:p>
      <w:pPr>
        <w:pStyle w:val="a0"/>
      </w:pPr>
      <w:r>
        <w:rPr>
          <w:rFonts w:hint="eastAsia"/>
        </w:rPr>
        <w:t xml:space="preserve">傳統方法僅使用當前的檢驗數據進行風險評估，例如以當前空腹血糖值判斷糖尿病風險。這種方式忽略了一個重要事實：</w:t>
      </w:r>
      <w:r>
        <w:rPr>
          <w:rFonts w:hint="eastAsia"/>
          <w:b/>
          <w:bCs/>
        </w:rPr>
        <w:t xml:space="preserve">相同的檢驗數值在不同健康軌跡下具有不同的意義</w:t>
      </w:r>
      <w:r>
        <w:rPr>
          <w:rFonts w:hint="eastAsia"/>
        </w:rPr>
        <w:t xml:space="preserve">。例如，血糖從</w:t>
      </w:r>
      <w:r>
        <w:t xml:space="preserve"> 90 </w:t>
      </w:r>
      <w:r>
        <w:rPr>
          <w:rFonts w:hint="eastAsia"/>
        </w:rPr>
        <w:t xml:space="preserve">上升到</w:t>
      </w:r>
      <w:r>
        <w:t xml:space="preserve"> 95 mg/dL </w:t>
      </w:r>
      <w:r>
        <w:rPr>
          <w:rFonts w:hint="eastAsia"/>
        </w:rPr>
        <w:t xml:space="preserve">的個體，與從</w:t>
      </w:r>
      <w:r>
        <w:t xml:space="preserve"> 100 </w:t>
      </w:r>
      <w:r>
        <w:rPr>
          <w:rFonts w:hint="eastAsia"/>
        </w:rPr>
        <w:t xml:space="preserve">下降到</w:t>
      </w:r>
      <w:r>
        <w:t xml:space="preserve"> 95 mg/dL </w:t>
      </w:r>
      <w:r>
        <w:rPr>
          <w:rFonts w:hint="eastAsia"/>
        </w:rPr>
        <w:t xml:space="preserve">的個體，雖然當前血糖值相同，但其未來風險可能截然不同。</w:t>
      </w:r>
    </w:p>
    <w:p>
      <w:pPr>
        <w:pStyle w:val="a0"/>
      </w:pPr>
      <w:r>
        <w:rPr>
          <w:rFonts w:hint="eastAsia"/>
          <w:b/>
          <w:bCs/>
        </w:rPr>
        <w:t xml:space="preserve">限制二：缺乏縱向資訊</w:t>
      </w:r>
    </w:p>
    <w:p>
      <w:pPr>
        <w:pStyle w:val="a0"/>
      </w:pPr>
      <w:r>
        <w:rPr>
          <w:rFonts w:hint="eastAsia"/>
        </w:rPr>
        <w:t xml:space="preserve">大多數現有研究未充分利用歷史健檢資料，也缺少「變化量特徵」（Delta</w:t>
      </w:r>
      <w:r>
        <w:t xml:space="preserve"> </w:t>
      </w:r>
      <w:r>
        <w:rPr>
          <w:rFonts w:hint="eastAsia"/>
        </w:rPr>
        <w:t xml:space="preserve">Features）的工程設計。近期研究（如</w:t>
      </w:r>
      <w:r>
        <w:t xml:space="preserve"> Yang et al., </w:t>
      </w:r>
      <w:r>
        <w:rPr>
          <w:rFonts w:hint="eastAsia"/>
        </w:rPr>
        <w:t xml:space="preserve">2025）已證實，血糖變化量（δ-FPG）在糖尿病預測中具有極高的重要性，但類似的特徵工程方法尚未被系統性地應用於三高疾病的同時預測。</w:t>
      </w:r>
    </w:p>
    <w:p>
      <w:pPr>
        <w:pStyle w:val="a0"/>
      </w:pPr>
      <w:r>
        <w:rPr>
          <w:rFonts w:hint="eastAsia"/>
          <w:b/>
          <w:bCs/>
        </w:rPr>
        <w:t xml:space="preserve">限制三：模型可解釋性不足</w:t>
      </w:r>
    </w:p>
    <w:p>
      <w:pPr>
        <w:pStyle w:val="a0"/>
      </w:pPr>
      <w:r>
        <w:rPr>
          <w:rFonts w:hint="eastAsia"/>
        </w:rPr>
        <w:t xml:space="preserve">許多高準確度的機器學習模型（如深度神經網路）是「黑箱」模型，難以解釋預測背後的原因。這在醫療應用場景中造成兩個問題：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醫療人員難以信任無法解釋的預測結果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無法提供患者具體可行的風險因子改善建議</w:t>
      </w:r>
    </w:p>
    <w:bookmarkEnd w:id="18"/>
    <w:bookmarkStart w:id="19" w:name="核心研究問題"/>
    <w:p>
      <w:pPr>
        <w:pStyle w:val="2"/>
      </w:pPr>
      <w:r>
        <w:t xml:space="preserve">3.2 </w:t>
      </w:r>
      <w:r>
        <w:rPr>
          <w:rFonts w:hint="eastAsia"/>
        </w:rPr>
        <w:t xml:space="preserve">核心研究問題</w:t>
      </w:r>
    </w:p>
    <w:p>
      <w:pPr>
        <w:pStyle w:val="FirstParagraph"/>
      </w:pPr>
      <w:r>
        <w:rPr>
          <w:rFonts w:hint="eastAsia"/>
        </w:rPr>
        <w:t xml:space="preserve">基於上述背景，本研究提出以下核心研究問題：</w:t>
      </w:r>
    </w:p>
    <w:p>
      <w:pPr>
        <w:pStyle w:val="aa"/>
      </w:pPr>
      <w:r>
        <w:rPr>
          <w:rFonts w:hint="eastAsia"/>
          <w:b/>
          <w:bCs/>
        </w:rPr>
        <w:t xml:space="preserve">如何利用縱向健檢資料，有效預測個體未來罹患三高疾病的風險，同時兼顧預測準確性與模型可解釋性？</w:t>
      </w:r>
    </w:p>
    <w:bookmarkEnd w:id="19"/>
    <w:bookmarkStart w:id="20" w:name="具體研究問題"/>
    <w:p>
      <w:pPr>
        <w:pStyle w:val="2"/>
      </w:pPr>
      <w:r>
        <w:t xml:space="preserve">3.3 </w:t>
      </w:r>
      <w:r>
        <w:rPr>
          <w:rFonts w:hint="eastAsia"/>
        </w:rPr>
        <w:t xml:space="preserve">具體研究問題</w:t>
      </w:r>
    </w:p>
    <w:p>
      <w:pPr>
        <w:pStyle w:val="FirstParagraph"/>
      </w:pPr>
      <w:r>
        <w:rPr>
          <w:rFonts w:hint="eastAsia"/>
        </w:rPr>
        <w:t xml:space="preserve">為回答上述核心問題，本研究設定以下六個具體研究問題：</w:t>
      </w:r>
    </w:p>
    <w:p>
      <w:pPr>
        <w:pStyle w:val="a0"/>
      </w:pPr>
      <w:r>
        <w:rPr>
          <w:rFonts w:hint="eastAsia"/>
          <w:b/>
          <w:bCs/>
        </w:rPr>
        <w:t xml:space="preserve">Q1：變化量特徵的預測價值</w:t>
      </w:r>
      <w:r>
        <w:t xml:space="preserve"> </w:t>
      </w:r>
      <w:r>
        <w:rPr>
          <w:rFonts w:hint="eastAsia"/>
        </w:rPr>
        <w:t xml:space="preserve">在相同的健檢時間點數量下，額外納入變化量特徵（Δ</w:t>
      </w:r>
      <w:r>
        <w:t xml:space="preserve"> </w:t>
      </w:r>
      <w:r>
        <w:rPr>
          <w:rFonts w:hint="eastAsia"/>
        </w:rPr>
        <w:t xml:space="preserve">Features）是否能顯著提升三高疾病的預測性能？</w:t>
      </w:r>
    </w:p>
    <w:p>
      <w:pPr>
        <w:pStyle w:val="a0"/>
      </w:pPr>
      <w:r>
        <w:rPr>
          <w:rFonts w:hint="eastAsia"/>
          <w:b/>
          <w:bCs/>
        </w:rPr>
        <w:t xml:space="preserve">Q2：模型選擇與比較</w:t>
      </w:r>
      <w:r>
        <w:t xml:space="preserve"> </w:t>
      </w:r>
      <w:r>
        <w:rPr>
          <w:rFonts w:hint="eastAsia"/>
        </w:rPr>
        <w:t xml:space="preserve">在三高疾病預測任務中，哪些機器學習模型表現最佳？傳統統計方法與機器學習方法的性能差異為何？可解釋模型與黑箱模型之間如何權衡？</w:t>
      </w:r>
    </w:p>
    <w:p>
      <w:pPr>
        <w:pStyle w:val="a0"/>
      </w:pPr>
      <w:r>
        <w:rPr>
          <w:rFonts w:hint="eastAsia"/>
          <w:b/>
          <w:bCs/>
        </w:rPr>
        <w:t xml:space="preserve">Q3：多任務學習的效果</w:t>
      </w:r>
      <w:r>
        <w:t xml:space="preserve"> </w:t>
      </w:r>
      <w:r>
        <w:rPr>
          <w:rFonts w:hint="eastAsia"/>
        </w:rPr>
        <w:t xml:space="preserve">同時預測三高疾病（Multi-Task</w:t>
      </w:r>
      <w:r>
        <w:t xml:space="preserve"> </w:t>
      </w:r>
      <w:r>
        <w:rPr>
          <w:rFonts w:hint="eastAsia"/>
        </w:rPr>
        <w:t xml:space="preserve">Learning）相較於分別預測單一疾病（Single-Task</w:t>
      </w:r>
      <w:r>
        <w:t xml:space="preserve"> </w:t>
      </w:r>
      <w:r>
        <w:rPr>
          <w:rFonts w:hint="eastAsia"/>
        </w:rPr>
        <w:t xml:space="preserve">Learning），在預測性能與訓練效率上有何差異？</w:t>
      </w:r>
    </w:p>
    <w:p>
      <w:pPr>
        <w:pStyle w:val="a0"/>
      </w:pPr>
      <w:r>
        <w:rPr>
          <w:rFonts w:hint="eastAsia"/>
          <w:b/>
          <w:bCs/>
        </w:rPr>
        <w:t xml:space="preserve">Q4：特徵重要性分析</w:t>
      </w:r>
      <w:r>
        <w:t xml:space="preserve"> </w:t>
      </w:r>
      <w:r>
        <w:rPr>
          <w:rFonts w:hint="eastAsia"/>
        </w:rPr>
        <w:t xml:space="preserve">哪些生物標記及其變化量對三高疾病預測最為重要？這些發現如何支持臨床決策？</w:t>
      </w:r>
    </w:p>
    <w:p>
      <w:pPr>
        <w:pStyle w:val="a0"/>
      </w:pPr>
      <w:r>
        <w:rPr>
          <w:rFonts w:hint="eastAsia"/>
          <w:b/>
          <w:bCs/>
        </w:rPr>
        <w:t xml:space="preserve">Q5：模型精簡的可行性</w:t>
      </w:r>
      <w:r>
        <w:t xml:space="preserve"> </w:t>
      </w:r>
      <w:r>
        <w:rPr>
          <w:rFonts w:hint="eastAsia"/>
        </w:rPr>
        <w:t xml:space="preserve">使用少量關鍵特徵是否能維持接近完整模型的預測性能？此結果對降低臨床資料收集成本有何啟示？</w:t>
      </w:r>
    </w:p>
    <w:p>
      <w:pPr>
        <w:pStyle w:val="a0"/>
      </w:pPr>
      <w:r>
        <w:rPr>
          <w:rFonts w:hint="eastAsia"/>
          <w:b/>
          <w:bCs/>
        </w:rPr>
        <w:t xml:space="preserve">Q6：健檢次數對預測性能的影響</w:t>
      </w:r>
      <w:r>
        <w:t xml:space="preserve"> </w:t>
      </w:r>
      <w:r>
        <w:rPr>
          <w:rFonts w:hint="eastAsia"/>
        </w:rPr>
        <w:t xml:space="preserve">累積更多次健檢紀錄是否能提升預測準確度？此結果對鼓勵民眾定期健檢及健檢機構的服務規劃有何啟示？</w:t>
      </w:r>
    </w:p>
    <w:bookmarkEnd w:id="20"/>
    <w:bookmarkStart w:id="23" w:name="問題形式定義"/>
    <w:p>
      <w:pPr>
        <w:pStyle w:val="2"/>
      </w:pPr>
      <w:r>
        <w:t xml:space="preserve">3.4 </w:t>
      </w:r>
      <w:r>
        <w:rPr>
          <w:rFonts w:hint="eastAsia"/>
        </w:rPr>
        <w:t xml:space="preserve">問題形式定義</w:t>
      </w:r>
    </w:p>
    <w:bookmarkStart w:id="21" w:name="特徵定義"/>
    <w:p>
      <w:pPr>
        <w:pStyle w:val="3"/>
      </w:pPr>
      <w:r>
        <w:t xml:space="preserve">3.4.1 </w:t>
      </w:r>
      <w:r>
        <w:rPr>
          <w:rFonts w:hint="eastAsia"/>
        </w:rPr>
        <w:t xml:space="preserve">特徵定義</w:t>
      </w:r>
    </w:p>
    <w:p>
      <w:pPr>
        <w:pStyle w:val="FirstParagraph"/>
      </w:pPr>
      <w:r>
        <w:rPr>
          <w:rFonts w:hint="eastAsia"/>
        </w:rPr>
        <w:t xml:space="preserve">本研究使用連續三次健檢紀錄，定義以下時間點：</w:t>
      </w:r>
    </w:p>
    <w:p>
      <w:pPr>
        <w:pStyle w:val="Compact"/>
        <w:numPr>
          <w:ilvl w:val="0"/>
          <w:numId w:val="1002"/>
        </w:numPr>
      </w:pPr>
      <m:oMath>
        <m:r>
          <m:t>Y</m:t>
        </m:r>
        <m:r>
          <m:rPr>
            <m:nor/>
            <m:sty m:val="p"/>
          </m:rPr>
          <m:t>-</m:t>
        </m:r>
        <m:r>
          <m:t>2</m:t>
        </m:r>
      </m:oMath>
      <w:r>
        <w:rPr>
          <w:rFonts w:hint="eastAsia"/>
        </w:rPr>
        <w:t xml:space="preserve">：第一次健檢（最早）</w:t>
      </w:r>
    </w:p>
    <w:p>
      <w:pPr>
        <w:pStyle w:val="Compact"/>
        <w:numPr>
          <w:ilvl w:val="0"/>
          <w:numId w:val="1002"/>
        </w:numPr>
      </w:pPr>
      <m:oMath>
        <m:r>
          <m:t>Y</m:t>
        </m:r>
        <m:r>
          <m:rPr>
            <m:nor/>
            <m:sty m:val="p"/>
          </m:rPr>
          <m:t>-</m:t>
        </m:r>
        <m:r>
          <m:t>1</m:t>
        </m:r>
      </m:oMath>
      <w:r>
        <w:rPr>
          <w:rFonts w:hint="eastAsia"/>
        </w:rPr>
        <w:t xml:space="preserve">：第二次健檢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Y</m:t>
            </m:r>
          </m:e>
          <m:sub>
            <m:r>
              <m:t>0</m:t>
            </m:r>
          </m:sub>
        </m:sSub>
      </m:oMath>
      <w:r>
        <w:rPr>
          <w:rFonts w:hint="eastAsia"/>
        </w:rPr>
        <w:t xml:space="preserve">：第三次健檢（預測目標時間點）</w:t>
      </w:r>
    </w:p>
    <w:p>
      <w:pPr>
        <w:pStyle w:val="FirstParagraph"/>
      </w:pPr>
      <w:r>
        <w:rPr>
          <w:rFonts w:hint="eastAsia"/>
        </w:rPr>
        <w:t xml:space="preserve">給定</w:t>
      </w:r>
      <w:r>
        <w:t xml:space="preserve"> </w:t>
      </w:r>
      <m:oMath>
        <m:r>
          <m:t>d</m:t>
        </m:r>
      </m:oMath>
      <w:r>
        <w:t xml:space="preserve"> </w:t>
      </w:r>
      <w:r>
        <w:rPr>
          <w:rFonts w:hint="eastAsia"/>
        </w:rPr>
        <w:t xml:space="preserve">個基本特徵與</w:t>
      </w:r>
      <w:r>
        <w:t xml:space="preserve"> </w:t>
      </w:r>
      <m:oMath>
        <m:r>
          <m:t>p</m:t>
        </m:r>
      </m:oMath>
      <w:r>
        <w:t xml:space="preserve"> </w:t>
      </w:r>
      <w:r>
        <w:rPr>
          <w:rFonts w:hint="eastAsia"/>
        </w:rPr>
        <w:t xml:space="preserve">個健檢指標，輸入特徵向量定義為：</w:t>
      </w:r>
    </w:p>
    <w:p>
      <w:pPr>
        <w:pStyle w:val="a0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[</m:t>
          </m:r>
          <m:sSub>
            <m:e>
              <m:r>
                <m:t>X</m:t>
              </m:r>
            </m:e>
            <m:sub>
              <m:r>
                <m:t>b</m:t>
              </m:r>
              <m:r>
                <m:t>a</m:t>
              </m:r>
              <m:r>
                <m:t>s</m:t>
              </m:r>
              <m:r>
                <m:t>e</m:t>
              </m:r>
            </m:sub>
          </m:sSub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Y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Y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]</m:t>
          </m:r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d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p</m:t>
              </m:r>
            </m:sup>
          </m:sSup>
        </m:oMath>
      </m:oMathPara>
    </w:p>
    <w:p>
      <w:pPr>
        <w:pStyle w:val="FirstParagraph"/>
      </w:pPr>
      <w:r>
        <w:rPr>
          <w:rFonts w:hint="eastAsia"/>
        </w:rPr>
        <w:t xml:space="preserve">其中：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X</m:t>
            </m:r>
          </m:e>
          <m:sub>
            <m:r>
              <m:t>b</m:t>
            </m:r>
            <m:r>
              <m:t>a</m:t>
            </m:r>
            <m:r>
              <m:t>s</m:t>
            </m:r>
            <m:r>
              <m:t>e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rPr>
          <w:rFonts w:hint="eastAsia"/>
        </w:rPr>
        <w:t xml:space="preserve">：人口學基本資訊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X</m:t>
            </m:r>
          </m:e>
          <m:sub>
            <m:r>
              <m:t>Y</m:t>
            </m:r>
            <m:r>
              <m:rPr>
                <m:sty m:val="p"/>
              </m:rPr>
              <m:t>−</m:t>
            </m:r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rFonts w:hint="eastAsia"/>
        </w:rPr>
        <w:t xml:space="preserve">：分別為</w:t>
      </w:r>
      <w:r>
        <w:t xml:space="preserve"> Y-2 </w:t>
      </w:r>
      <w:r>
        <w:rPr>
          <w:rFonts w:hint="eastAsia"/>
        </w:rPr>
        <w:t xml:space="preserve">與</w:t>
      </w:r>
      <w:r>
        <w:t xml:space="preserve"> Y-1 </w:t>
      </w:r>
      <w:r>
        <w:rPr>
          <w:rFonts w:hint="eastAsia"/>
        </w:rPr>
        <w:t xml:space="preserve">時間點的健檢指標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Y</m:t>
            </m:r>
            <m:r>
              <m:rPr>
                <m:sty m:val="p"/>
              </m:rPr>
              <m:t>−</m:t>
            </m:r>
            <m:r>
              <m:t>2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rFonts w:hint="eastAsia"/>
        </w:rPr>
        <w:t xml:space="preserve">：變化量特徵</w:t>
      </w:r>
    </w:p>
    <w:bookmarkEnd w:id="21"/>
    <w:bookmarkStart w:id="22" w:name="預測任務"/>
    <w:p>
      <w:pPr>
        <w:pStyle w:val="3"/>
      </w:pPr>
      <w:r>
        <w:t xml:space="preserve">3.4.2 </w:t>
      </w:r>
      <w:r>
        <w:rPr>
          <w:rFonts w:hint="eastAsia"/>
        </w:rPr>
        <w:t xml:space="preserve">預測任務</w:t>
      </w:r>
    </w:p>
    <w:p>
      <w:pPr>
        <w:pStyle w:val="FirstParagraph"/>
      </w:pPr>
      <w:r>
        <w:rPr>
          <w:rFonts w:hint="eastAsia"/>
        </w:rPr>
        <w:t xml:space="preserve">給定輸入特徵</w:t>
      </w:r>
      <w:r>
        <w:t xml:space="preserve"> </w:t>
      </w:r>
      <m:oMath>
        <m:r>
          <m:t>X</m:t>
        </m:r>
      </m:oMath>
      <w:r>
        <w:rPr>
          <w:rFonts w:hint="eastAsia"/>
        </w:rPr>
        <w:t xml:space="preserve">，學習預測函數</w:t>
      </w:r>
      <w:r>
        <w:t xml:space="preserve"> </w:t>
      </w:r>
      <m:oMath>
        <m:r>
          <m:t>f</m:t>
        </m:r>
      </m:oMath>
      <w:r>
        <w:t xml:space="preserve"> </w:t>
      </w:r>
      <w:r>
        <w:rPr>
          <w:rFonts w:hint="eastAsia"/>
        </w:rPr>
        <w:t xml:space="preserve">使得：</w:t>
      </w:r>
    </w:p>
    <w:p>
      <w:pPr>
        <w:pStyle w:val="a0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[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H</m:t>
              </m:r>
              <m:r>
                <m:t>T</m:t>
              </m:r>
              <m:r>
                <m:t>N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H</m:t>
              </m:r>
              <m:r>
                <m:t>G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D</m:t>
              </m:r>
              <m:r>
                <m:t>L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≈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sSup>
            <m:e>
              <m:r>
                <m:rPr>
                  <m:sty m:val="p"/>
                </m:rPr>
                <m:t>}</m:t>
              </m:r>
            </m:e>
            <m:sup>
              <m:r>
                <m:t>3</m:t>
              </m:r>
            </m:sup>
          </m:sSup>
        </m:oMath>
      </m:oMathPara>
    </w:p>
    <w:p>
      <w:pPr>
        <w:pStyle w:val="FirstParagraph"/>
      </w:pPr>
      <w:r>
        <w:rPr>
          <w:rFonts w:hint="eastAsia"/>
        </w:rPr>
        <w:t xml:space="preserve">其中：</w:t>
      </w:r>
    </w:p>
    <w:p>
      <w:pPr>
        <w:pStyle w:val="Compact"/>
        <w:numPr>
          <w:ilvl w:val="0"/>
          <w:numId w:val="1004"/>
        </w:numPr>
      </w:pP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H</m:t>
            </m:r>
            <m:r>
              <m:t>T</m:t>
            </m:r>
            <m:r>
              <m:t>N</m:t>
            </m:r>
          </m:sub>
        </m:sSub>
      </m:oMath>
      <w:r>
        <w:rPr>
          <w:rFonts w:hint="eastAsia"/>
        </w:rPr>
        <w:t xml:space="preserve">：高血壓（Hypertension）</w:t>
      </w:r>
    </w:p>
    <w:p>
      <w:pPr>
        <w:pStyle w:val="Compact"/>
        <w:numPr>
          <w:ilvl w:val="0"/>
          <w:numId w:val="1004"/>
        </w:numPr>
      </w:pP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H</m:t>
            </m:r>
            <m:r>
              <m:t>G</m:t>
            </m:r>
          </m:sub>
        </m:sSub>
      </m:oMath>
      <w:r>
        <w:rPr>
          <w:rFonts w:hint="eastAsia"/>
        </w:rPr>
        <w:t xml:space="preserve">：高血糖（Hyperglycemia）</w:t>
      </w:r>
    </w:p>
    <w:p>
      <w:pPr>
        <w:pStyle w:val="Compact"/>
        <w:numPr>
          <w:ilvl w:val="0"/>
          <w:numId w:val="1004"/>
        </w:numPr>
      </w:pP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D</m:t>
            </m:r>
            <m:r>
              <m:t>L</m:t>
            </m:r>
          </m:sub>
        </m:sSub>
      </m:oMath>
      <w:r>
        <w:rPr>
          <w:rFonts w:hint="eastAsia"/>
        </w:rPr>
        <w:t xml:space="preserve">：高血脂（Dyslipidemia）</w:t>
      </w:r>
    </w:p>
    <w:bookmarkEnd w:id="22"/>
    <w:bookmarkEnd w:id="23"/>
    <w:bookmarkEnd w:id="24"/>
    <w:sectPr w:rsidR="006D3225" w:rsidRPr="00BE2F6E" w:rsidSect="000C688A">
      <w:footnotePr>
        <w:numRestart w:val="eachSect"/>
      </w:footnotePr>
      <w:pgSz w:h="15840" w:w="12240"/>
      <w:pgMar w:bottom="1418" w:footer="720" w:gutter="0" w:header="720" w:left="1701" w:right="1418" w:top="1985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0000A991"/>
    <w:multiLevelType w:val="multilevel"/>
    <w:tmpl w:val="55A042E0"/>
    <w:lvl w:ilvl="0">
      <w:numFmt w:val="bullet"/>
      <w:lvlText w:val=""/>
      <w:lvlJc w:val="left"/>
      <w:pPr>
        <w:ind w:hanging="360" w:left="720"/>
      </w:pPr>
      <w:rPr>
        <w:rFonts w:ascii="Symbol" w:cs="Symbol" w:hAnsi="Symbol" w:hint="default"/>
      </w:rPr>
    </w:lvl>
    <w:lvl w:ilvl="1"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>
      <w:numFmt w:val="bullet"/>
      <w:lvlText w:val=""/>
      <w:lvlJc w:val="left"/>
      <w:pPr>
        <w:ind w:hanging="360" w:left="2160"/>
      </w:pPr>
      <w:rPr>
        <w:rFonts w:ascii="Wingdings" w:cs="Wingdings" w:hAnsi="Wingdings" w:hint="default"/>
      </w:rPr>
    </w:lvl>
    <w:lvl w:ilvl="3">
      <w:numFmt w:val="bullet"/>
      <w:lvlText w:val=""/>
      <w:lvlJc w:val="left"/>
      <w:pPr>
        <w:ind w:hanging="360" w:left="2880"/>
      </w:pPr>
      <w:rPr>
        <w:rFonts w:ascii="Symbol" w:cs="Symbol" w:hAnsi="Symbol" w:hint="default"/>
      </w:rPr>
    </w:lvl>
    <w:lvl w:ilvl="4"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numFmt w:val="bullet"/>
      <w:lvlText w:val=""/>
      <w:lvlJc w:val="left"/>
      <w:pPr>
        <w:ind w:hanging="360" w:left="4320"/>
      </w:pPr>
      <w:rPr>
        <w:rFonts w:ascii="Wingdings" w:cs="Wingdings" w:hAnsi="Wingdings" w:hint="default"/>
      </w:rPr>
    </w:lvl>
    <w:lvl w:ilvl="6">
      <w:numFmt w:val="bullet"/>
      <w:lvlText w:val=""/>
      <w:lvlJc w:val="left"/>
      <w:pPr>
        <w:ind w:hanging="360" w:left="5040"/>
      </w:pPr>
      <w:rPr>
        <w:rFonts w:ascii="Symbol" w:cs="Symbol" w:hAnsi="Symbol" w:hint="default"/>
      </w:rPr>
    </w:lvl>
    <w:lvl w:ilvl="7"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numFmt w:val="bullet"/>
      <w:lvlText w:val=""/>
      <w:lvlJc w:val="left"/>
      <w:pPr>
        <w:ind w:hanging="360" w:left="6480"/>
      </w:pPr>
      <w:rPr>
        <w:rFonts w:ascii="Wingdings" w:cs="Wingdings" w:hAnsi="Wingdings" w:hint="default"/>
      </w:rPr>
    </w:lvl>
  </w:abstractNum>
  <w:abstractNum w15:restartNumberingAfterBreak="0" w:abstractNumId="1">
    <w:nsid w:val="00A99411"/>
    <w:multiLevelType w:val="multilevel"/>
    <w:tmpl w:val="0936ADC0"/>
    <w:lvl w:ilvl="0">
      <w:start w:val="1"/>
      <w:numFmt w:val="decimal"/>
      <w:lvlText w:val="%1."/>
      <w:lvlJc w:val="left"/>
      <w:pPr>
        <w:ind w:hanging="360" w:left="720"/>
      </w:pPr>
    </w:lvl>
    <w:lvl w:ilvl="1">
      <w:start w:val="1"/>
      <w:numFmt w:val="decimal"/>
      <w:lvlText w:val="%2."/>
      <w:lvlJc w:val="left"/>
      <w:pPr>
        <w:ind w:hanging="360" w:left="1440"/>
      </w:pPr>
    </w:lvl>
    <w:lvl w:ilvl="2">
      <w:start w:val="1"/>
      <w:numFmt w:val="decimal"/>
      <w:lvlText w:val="%3."/>
      <w:lvlJc w:val="left"/>
      <w:pPr>
        <w:ind w:hanging="360" w:left="2160"/>
      </w:pPr>
    </w:lvl>
    <w:lvl w:ilvl="3">
      <w:start w:val="1"/>
      <w:numFmt w:val="decimal"/>
      <w:lvlText w:val="%4."/>
      <w:lvlJc w:val="left"/>
      <w:pPr>
        <w:ind w:hanging="360" w:left="2880"/>
      </w:pPr>
    </w:lvl>
    <w:lvl w:ilvl="4">
      <w:start w:val="1"/>
      <w:numFmt w:val="decimal"/>
      <w:lvlText w:val="%5."/>
      <w:lvlJc w:val="left"/>
      <w:pPr>
        <w:ind w:hanging="360" w:left="3600"/>
      </w:pPr>
    </w:lvl>
    <w:lvl w:ilvl="5">
      <w:start w:val="1"/>
      <w:numFmt w:val="decimal"/>
      <w:lvlText w:val="%6."/>
      <w:lvlJc w:val="left"/>
      <w:pPr>
        <w:ind w:hanging="360" w:left="4320"/>
      </w:pPr>
    </w:lvl>
    <w:lvl w:ilvl="6">
      <w:start w:val="1"/>
      <w:numFmt w:val="decimal"/>
      <w:lvlText w:val="%7."/>
      <w:lvlJc w:val="left"/>
      <w:pPr>
        <w:ind w:hanging="360" w:left="5040"/>
      </w:pPr>
    </w:lvl>
    <w:lvl w:ilvl="7">
      <w:start w:val="1"/>
      <w:numFmt w:val="decimal"/>
      <w:lvlText w:val="%8."/>
      <w:lvlJc w:val="left"/>
      <w:pPr>
        <w:ind w:hanging="360" w:left="5760"/>
      </w:pPr>
    </w:lvl>
    <w:lvl w:ilvl="8">
      <w:start w:val="1"/>
      <w:numFmt w:val="decimal"/>
      <w:lvlText w:val="%9."/>
      <w:lvlJc w:val="left"/>
      <w:pPr>
        <w:ind w:hanging="36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</w:num>
  <w:num w:numId="5">
    <w:abstractNumId w:val="0"/>
  </w:num>
  <w:num w:numId="6">
    <w:abstractNumId w:val="0"/>
  </w:num>
  <w:num w:numId="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0"/>
  </w:num>
  <w:num w:numId="9">
    <w:abstractNumId w:val="0"/>
  </w:num>
  <w:num w:numId="10">
    <w:abstractNumId w:val="0"/>
  </w:num>
  <w:num w:numId="11">
    <w:abstractNumId w:val="0"/>
  </w:num>
  <w:num w:numId="12">
    <w:abstractNumId w:val="0"/>
  </w:num>
  <w:num w:numId="13">
    <w:abstractNumId w:val="0"/>
  </w:num>
  <w:num w:numId="14">
    <w:abstractNumId w:val="0"/>
  </w:num>
  <w:num w:numId="15">
    <w:abstractNumId w:val="0"/>
  </w:num>
  <w:num w:numId="1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0"/>
  </w:num>
  <w:num w:numId="18">
    <w:abstractNumId w:val="0"/>
  </w:num>
  <w:num w:numId="1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0"/>
  </w:num>
  <w:num w:numId="22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6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49" v:ext="edit"/>
  </w:hdrShapeDefaults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9253F"/>
    <w:rsid w:val="000C688A"/>
    <w:rsid w:val="002D44E1"/>
    <w:rsid w:val="0069253F"/>
    <w:rsid w:val="006D3225"/>
    <w:rsid w:val="008D1BC4"/>
    <w:rsid w:val="00A2729A"/>
    <w:rsid w:val="00A75A56"/>
    <w:rsid w:val="00B8724B"/>
    <w:rsid w:val="00BE2F6E"/>
    <w:rsid w:val="00C2227C"/>
    <w:rsid w:val="00C73B26"/>
    <w:rsid w:val="00D70EEA"/>
    <w:rsid w:val="00E16716"/>
    <w:rsid w:val="00F90F98"/>
  </w:rsids>
  <w:themeFontLang w:eastAsia="zh-TW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49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</w:style>
  <w:style w:styleId="1" w:type="paragraph">
    <w:name w:val="heading 1"/>
    <w:basedOn w:val="a"/>
    <w:next w:val="a0"/>
    <w:link w:val="10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4" w:type="paragraph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5" w:type="paragraph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6" w:type="paragraph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7" w:type="paragraph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8" w:type="paragraph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9" w:type="paragraph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pPr>
      <w:spacing w:after="180" w:before="180"/>
    </w:pPr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a5" w:type="character">
    <w:name w:val="標題 字元"/>
    <w:basedOn w:val="a1"/>
    <w:link w:val="a4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customStyle="1" w:styleId="a7" w:type="character">
    <w:name w:val="副標題 字元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標題 1 字元"/>
    <w:basedOn w:val="a1"/>
    <w:link w:val="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20" w:type="character">
    <w:name w:val="標題 2 字元"/>
    <w:basedOn w:val="a1"/>
    <w:link w:val="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30" w:type="character">
    <w:name w:val="標題 3 字元"/>
    <w:basedOn w:val="a1"/>
    <w:link w:val="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40" w:type="character">
    <w:name w:val="標題 4 字元"/>
    <w:basedOn w:val="a1"/>
    <w:link w:val="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50" w:type="character">
    <w:name w:val="標題 5 字元"/>
    <w:basedOn w:val="a1"/>
    <w:link w:val="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60" w:type="character">
    <w:name w:val="標題 6 字元"/>
    <w:basedOn w:val="a1"/>
    <w:link w:val="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70" w:type="character">
    <w:name w:val="標題 7 字元"/>
    <w:basedOn w:val="a1"/>
    <w:link w:val="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80" w:type="character">
    <w:name w:val="標題 8 字元"/>
    <w:basedOn w:val="a1"/>
    <w:link w:val="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90" w:type="character">
    <w:name w:val="標題 9 字元"/>
    <w:basedOn w:val="a1"/>
    <w:link w:val="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/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pPr>
      <w:keepNext/>
    </w:pPr>
  </w:style>
  <w:style w:customStyle="1" w:styleId="ImageCaption" w:type="paragraph">
    <w:name w:val="Image Caption"/>
    <w:basedOn w:val="ac"/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標號 字元"/>
    <w:basedOn w:val="a1"/>
    <w:link w:val="ac"/>
  </w:style>
  <w:style w:customStyle="1" w:styleId="VerbatimChar" w:type="character">
    <w:name w:val="Verbatim Char"/>
    <w:basedOn w:val="ad"/>
    <w:link w:val="SourceCode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af0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customStyle="1" w:styleId="SourceCode" w:type="paragraph">
    <w:name w:val="Source Code"/>
    <w:link w:val="VerbatimChar"/>
    <w:pPr>
      <w:wordWrap w:val="0"/>
    </w:pPr>
  </w:style>
  <w:style w:customStyle="1" w:styleId="KeywordTok" w:type="character">
    <w:name w:val="KeywordTok"/>
    <w:basedOn w:val="VerbatimChar"/>
    <w:rPr>
      <w:rFonts w:ascii="Consolas" w:hAnsi="Consolas"/>
      <w:b/>
      <w:color w:val="007020"/>
      <w:sz w:val="22"/>
    </w:rPr>
  </w:style>
  <w:style w:customStyle="1" w:styleId="DataTypeTok" w:type="character">
    <w:name w:val="DataTypeTok"/>
    <w:basedOn w:val="VerbatimChar"/>
    <w:rPr>
      <w:rFonts w:ascii="Consolas" w:hAnsi="Consolas"/>
      <w:color w:val="902000"/>
      <w:sz w:val="22"/>
    </w:rPr>
  </w:style>
  <w:style w:customStyle="1" w:styleId="DecValTok" w:type="character">
    <w:name w:val="DecValTok"/>
    <w:basedOn w:val="VerbatimChar"/>
    <w:rPr>
      <w:rFonts w:ascii="Consolas" w:hAnsi="Consolas"/>
      <w:color w:val="40A070"/>
      <w:sz w:val="22"/>
    </w:rPr>
  </w:style>
  <w:style w:customStyle="1" w:styleId="BaseNTok" w:type="character">
    <w:name w:val="BaseNTok"/>
    <w:basedOn w:val="VerbatimChar"/>
    <w:rPr>
      <w:rFonts w:ascii="Consolas" w:hAnsi="Consolas"/>
      <w:color w:val="40A070"/>
      <w:sz w:val="22"/>
    </w:rPr>
  </w:style>
  <w:style w:customStyle="1" w:styleId="FloatTok" w:type="character">
    <w:name w:val="FloatTok"/>
    <w:basedOn w:val="VerbatimChar"/>
    <w:rPr>
      <w:rFonts w:ascii="Consolas" w:hAnsi="Consolas"/>
      <w:color w:val="40A070"/>
      <w:sz w:val="22"/>
    </w:rPr>
  </w:style>
  <w:style w:customStyle="1" w:styleId="ConstantTok" w:type="character">
    <w:name w:val="ConstantTok"/>
    <w:basedOn w:val="VerbatimChar"/>
    <w:rPr>
      <w:rFonts w:ascii="Consolas" w:hAnsi="Consolas"/>
      <w:color w:val="880000"/>
      <w:sz w:val="22"/>
    </w:rPr>
  </w:style>
  <w:style w:customStyle="1" w:styleId="CharTok" w:type="character">
    <w:name w:val="CharTok"/>
    <w:basedOn w:val="VerbatimChar"/>
    <w:rPr>
      <w:rFonts w:ascii="Consolas" w:hAnsi="Consolas"/>
      <w:color w:val="4070A0"/>
      <w:sz w:val="22"/>
    </w:rPr>
  </w:style>
  <w:style w:customStyle="1" w:styleId="SpecialCharTok" w:type="character">
    <w:name w:val="SpecialCharTok"/>
    <w:basedOn w:val="VerbatimChar"/>
    <w:rPr>
      <w:rFonts w:ascii="Consolas" w:hAnsi="Consolas"/>
      <w:color w:val="4070A0"/>
      <w:sz w:val="22"/>
    </w:rPr>
  </w:style>
  <w:style w:customStyle="1" w:styleId="StringTok" w:type="character">
    <w:name w:val="StringTok"/>
    <w:basedOn w:val="VerbatimChar"/>
    <w:rPr>
      <w:rFonts w:ascii="Consolas" w:hAnsi="Consolas"/>
      <w:color w:val="4070A0"/>
      <w:sz w:val="22"/>
    </w:rPr>
  </w:style>
  <w:style w:customStyle="1" w:styleId="VerbatimStringTok" w:type="character">
    <w:name w:val="VerbatimStringTok"/>
    <w:basedOn w:val="VerbatimChar"/>
    <w:rPr>
      <w:rFonts w:ascii="Consolas" w:hAnsi="Consolas"/>
      <w:color w:val="4070A0"/>
      <w:sz w:val="22"/>
    </w:rPr>
  </w:style>
  <w:style w:customStyle="1" w:styleId="SpecialStringTok" w:type="character">
    <w:name w:val="SpecialStringTok"/>
    <w:basedOn w:val="VerbatimChar"/>
    <w:rPr>
      <w:rFonts w:ascii="Consolas" w:hAnsi="Consolas"/>
      <w:color w:val="BB6688"/>
      <w:sz w:val="22"/>
    </w:rPr>
  </w:style>
  <w:style w:customStyle="1" w:styleId="ImportTok" w:type="character">
    <w:name w:val="ImportTok"/>
    <w:basedOn w:val="VerbatimChar"/>
    <w:rPr>
      <w:rFonts w:ascii="Consolas" w:hAnsi="Consolas"/>
      <w:b/>
      <w:color w:val="008000"/>
      <w:sz w:val="22"/>
    </w:rPr>
  </w:style>
  <w:style w:customStyle="1" w:styleId="CommentTok" w:type="character">
    <w:name w:val="CommentTok"/>
    <w:basedOn w:val="VerbatimChar"/>
    <w:rPr>
      <w:rFonts w:ascii="Consolas" w:hAnsi="Consolas"/>
      <w:i/>
      <w:color w:val="60A0B0"/>
      <w:sz w:val="22"/>
    </w:rPr>
  </w:style>
  <w:style w:customStyle="1" w:styleId="DocumentationTok" w:type="character">
    <w:name w:val="DocumentationTok"/>
    <w:basedOn w:val="VerbatimChar"/>
    <w:rPr>
      <w:rFonts w:ascii="Consolas" w:hAnsi="Consolas"/>
      <w:i/>
      <w:color w:val="BA2121"/>
      <w:sz w:val="22"/>
    </w:rPr>
  </w:style>
  <w:style w:customStyle="1" w:styleId="AnnotationTok" w:type="character">
    <w:name w:val="AnnotationTok"/>
    <w:basedOn w:val="VerbatimChar"/>
    <w:rPr>
      <w:rFonts w:ascii="Consolas" w:hAnsi="Consolas"/>
      <w:b/>
      <w:i/>
      <w:color w:val="60A0B0"/>
      <w:sz w:val="22"/>
    </w:rPr>
  </w:style>
  <w:style w:customStyle="1" w:styleId="CommentVarTok" w:type="character">
    <w:name w:val="CommentVarTok"/>
    <w:basedOn w:val="VerbatimChar"/>
    <w:rPr>
      <w:rFonts w:ascii="Consolas" w:hAnsi="Consolas"/>
      <w:b/>
      <w:i/>
      <w:color w:val="60A0B0"/>
      <w:sz w:val="22"/>
    </w:rPr>
  </w:style>
  <w:style w:customStyle="1" w:styleId="OtherTok" w:type="character">
    <w:name w:val="OtherTok"/>
    <w:basedOn w:val="VerbatimChar"/>
    <w:rPr>
      <w:rFonts w:ascii="Consolas" w:hAnsi="Consolas"/>
      <w:color w:val="007020"/>
      <w:sz w:val="22"/>
    </w:rPr>
  </w:style>
  <w:style w:customStyle="1" w:styleId="FunctionTok" w:type="character">
    <w:name w:val="FunctionTok"/>
    <w:basedOn w:val="VerbatimChar"/>
    <w:rPr>
      <w:rFonts w:ascii="Consolas" w:hAnsi="Consolas"/>
      <w:color w:val="06287E"/>
      <w:sz w:val="22"/>
    </w:rPr>
  </w:style>
  <w:style w:customStyle="1" w:styleId="VariableTok" w:type="character">
    <w:name w:val="VariableTok"/>
    <w:basedOn w:val="VerbatimChar"/>
    <w:rPr>
      <w:rFonts w:ascii="Consolas" w:hAnsi="Consolas"/>
      <w:color w:val="19177C"/>
      <w:sz w:val="22"/>
    </w:rPr>
  </w:style>
  <w:style w:customStyle="1" w:styleId="ControlFlowTok" w:type="character">
    <w:name w:val="ControlFlowTok"/>
    <w:basedOn w:val="VerbatimChar"/>
    <w:rPr>
      <w:rFonts w:ascii="Consolas" w:hAnsi="Consolas"/>
      <w:b/>
      <w:color w:val="007020"/>
      <w:sz w:val="22"/>
    </w:rPr>
  </w:style>
  <w:style w:customStyle="1" w:styleId="OperatorTok" w:type="character">
    <w:name w:val="OperatorTok"/>
    <w:basedOn w:val="VerbatimChar"/>
    <w:rPr>
      <w:rFonts w:ascii="Consolas" w:hAnsi="Consolas"/>
      <w:color w:val="666666"/>
      <w:sz w:val="22"/>
    </w:rPr>
  </w:style>
  <w:style w:customStyle="1" w:styleId="BuiltInTok" w:type="character">
    <w:name w:val="BuiltInTok"/>
    <w:basedOn w:val="VerbatimChar"/>
    <w:rPr>
      <w:rFonts w:ascii="Consolas" w:hAnsi="Consolas"/>
      <w:color w:val="008000"/>
      <w:sz w:val="22"/>
    </w:rPr>
  </w:style>
  <w:style w:customStyle="1" w:styleId="ExtensionTok" w:type="character">
    <w:name w:val="ExtensionTok"/>
    <w:basedOn w:val="VerbatimChar"/>
    <w:rPr>
      <w:rFonts w:ascii="Consolas" w:hAnsi="Consolas"/>
      <w:sz w:val="22"/>
    </w:rPr>
  </w:style>
  <w:style w:customStyle="1" w:styleId="PreprocessorTok" w:type="character">
    <w:name w:val="PreprocessorTok"/>
    <w:basedOn w:val="VerbatimChar"/>
    <w:rPr>
      <w:rFonts w:ascii="Consolas" w:hAnsi="Consolas"/>
      <w:color w:val="BC7A00"/>
      <w:sz w:val="22"/>
    </w:rPr>
  </w:style>
  <w:style w:customStyle="1" w:styleId="AttributeTok" w:type="character">
    <w:name w:val="AttributeTok"/>
    <w:basedOn w:val="VerbatimChar"/>
    <w:rPr>
      <w:rFonts w:ascii="Consolas" w:hAnsi="Consolas"/>
      <w:color w:val="7D9029"/>
      <w:sz w:val="22"/>
    </w:rPr>
  </w:style>
  <w:style w:customStyle="1" w:styleId="RegionMarkerTok" w:type="character">
    <w:name w:val="RegionMarkerTok"/>
    <w:basedOn w:val="VerbatimChar"/>
    <w:rPr>
      <w:rFonts w:ascii="Consolas" w:hAnsi="Consolas"/>
      <w:sz w:val="22"/>
    </w:rPr>
  </w:style>
  <w:style w:customStyle="1" w:styleId="InformationTok" w:type="character">
    <w:name w:val="InformationTok"/>
    <w:basedOn w:val="VerbatimChar"/>
    <w:rPr>
      <w:rFonts w:ascii="Consolas" w:hAnsi="Consolas"/>
      <w:b/>
      <w:i/>
      <w:color w:val="60A0B0"/>
      <w:sz w:val="22"/>
    </w:rPr>
  </w:style>
  <w:style w:customStyle="1" w:styleId="WarningTok" w:type="character">
    <w:name w:val="WarningTok"/>
    <w:basedOn w:val="VerbatimChar"/>
    <w:rPr>
      <w:rFonts w:ascii="Consolas" w:hAnsi="Consolas"/>
      <w:b/>
      <w:i/>
      <w:color w:val="60A0B0"/>
      <w:sz w:val="22"/>
    </w:rPr>
  </w:style>
  <w:style w:customStyle="1" w:styleId="AlertTok" w:type="character">
    <w:name w:val="AlertTok"/>
    <w:basedOn w:val="VerbatimChar"/>
    <w:rPr>
      <w:rFonts w:ascii="Consolas" w:hAnsi="Consolas"/>
      <w:b/>
      <w:color w:val="FF0000"/>
      <w:sz w:val="22"/>
    </w:rPr>
  </w:style>
  <w:style w:customStyle="1" w:styleId="ErrorTok" w:type="character">
    <w:name w:val="ErrorTok"/>
    <w:basedOn w:val="VerbatimChar"/>
    <w:rPr>
      <w:rFonts w:ascii="Consolas" w:hAnsi="Consolas"/>
      <w:b/>
      <w:color w:val="FF0000"/>
      <w:sz w:val="22"/>
    </w:rPr>
  </w:style>
  <w:style w:customStyle="1" w:styleId="NormalTok" w:type="character">
    <w:name w:val="NormalTok"/>
    <w:basedOn w:val="VerbatimChar"/>
    <w:rPr>
      <w:rFonts w:ascii="Consolas" w:hAnsi="Consolas"/>
      <w:sz w:val="22"/>
    </w:rPr>
  </w:style>
  <w:style w:styleId="af1" w:type="paragraph">
    <w:name w:val="Balloon Text"/>
    <w:basedOn w:val="a"/>
    <w:link w:val="af2"/>
    <w:rsid w:val="00A2729A"/>
    <w:pPr>
      <w:spacing w:after="0"/>
    </w:pPr>
    <w:rPr>
      <w:rFonts w:asciiTheme="majorHAnsi" w:cstheme="majorBidi" w:eastAsiaTheme="majorEastAsia" w:hAnsiTheme="majorHAnsi"/>
      <w:sz w:val="18"/>
      <w:szCs w:val="18"/>
    </w:rPr>
  </w:style>
  <w:style w:customStyle="1" w:styleId="af2" w:type="character">
    <w:name w:val="註解方塊文字 字元"/>
    <w:basedOn w:val="a1"/>
    <w:link w:val="af1"/>
    <w:rsid w:val="00A2729A"/>
    <w:rPr>
      <w:rFonts w:asciiTheme="majorHAnsi" w:cstheme="majorBidi" w:eastAsiaTheme="majorEastAsia" w:hAnsiTheme="majorHAnsi"/>
      <w:sz w:val="18"/>
      <w:szCs w:val="18"/>
    </w:rPr>
  </w:style>
  <w:style w:styleId="af3" w:type="paragraph">
    <w:name w:val="header"/>
    <w:basedOn w:val="a"/>
    <w:link w:val="af4"/>
    <w:unhideWhenUsed/>
    <w:rsid w:val="00BE2F6E"/>
    <w:pPr>
      <w:tabs>
        <w:tab w:pos="4153" w:val="center"/>
        <w:tab w:pos="8306" w:val="right"/>
      </w:tabs>
      <w:snapToGrid w:val="0"/>
    </w:pPr>
    <w:rPr>
      <w:sz w:val="20"/>
      <w:szCs w:val="20"/>
    </w:rPr>
  </w:style>
  <w:style w:customStyle="1" w:styleId="af4" w:type="character">
    <w:name w:val="頁首 字元"/>
    <w:basedOn w:val="a1"/>
    <w:link w:val="af3"/>
    <w:rsid w:val="00BE2F6E"/>
    <w:rPr>
      <w:sz w:val="20"/>
      <w:szCs w:val="20"/>
    </w:rPr>
  </w:style>
  <w:style w:styleId="af5" w:type="paragraph">
    <w:name w:val="footer"/>
    <w:basedOn w:val="a"/>
    <w:link w:val="af6"/>
    <w:unhideWhenUsed/>
    <w:rsid w:val="00BE2F6E"/>
    <w:pPr>
      <w:tabs>
        <w:tab w:pos="4153" w:val="center"/>
        <w:tab w:pos="8306" w:val="right"/>
      </w:tabs>
      <w:snapToGrid w:val="0"/>
    </w:pPr>
    <w:rPr>
      <w:sz w:val="20"/>
      <w:szCs w:val="20"/>
    </w:rPr>
  </w:style>
  <w:style w:customStyle="1" w:styleId="af6" w:type="character">
    <w:name w:val="頁尾 字元"/>
    <w:basedOn w:val="a1"/>
    <w:link w:val="af5"/>
    <w:rsid w:val="00BE2F6E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7" Target="numbering.xml" /><Relationship Type="http://schemas.openxmlformats.org/officeDocument/2006/relationships/styles" Id="rId16" Target="styles.xml" /><Relationship Type="http://schemas.openxmlformats.org/officeDocument/2006/relationships/settings" Id="rId15" Target="settings.xml" /><Relationship Type="http://schemas.openxmlformats.org/officeDocument/2006/relationships/webSettings" Id="rId14" Target="webSettings.xml" /><Relationship Type="http://schemas.openxmlformats.org/officeDocument/2006/relationships/fontTable" Id="rId13" Target="fontTable.xml" /><Relationship Type="http://schemas.openxmlformats.org/officeDocument/2006/relationships/theme" Id="rId12" Target="theme/theme1.xml" /><Relationship Type="http://schemas.openxmlformats.org/officeDocument/2006/relationships/footnotes" Id="rId11" Target="footnotes.xml" /><Relationship Type="http://schemas.openxmlformats.org/officeDocument/2006/relationships/comments" Id="rId10" Target="comments.xml" /><Relationship Id="rId8" Target="media/image2.png" Type="http://schemas.openxmlformats.org/officeDocument/2006/relationships/image" /><Relationship Id="rId7" Target="media/image1.png" Type="http://schemas.openxmlformats.org/officeDocument/2006/relationships/image" /><Relationship Id="rId9" Target="media/image3.png" Type="http://schemas.openxmlformats.org/officeDocument/2006/relationships/image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15</Pages>
  <Words>1586</Words>
  <Characters>9045</Characters>
  <Application>Microsoft Office Word</Application>
  <DocSecurity>0</DocSecurity>
  <Lines>75</Lines>
  <Paragraphs>21</Paragraphs>
  <ScaleCrop>false</ScaleCrop>
  <Company/>
  <LinksUpToDate>false</LinksUpToDate>
  <CharactersWithSpaces>10610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2026-03-11T07:11:10Z</dcterms:created>
  <dcterms:modified xsi:type="dcterms:W3CDTF">2026-03-11T07:11:10Z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