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第八章-結論與建議"/>
    <w:p>
      <w:pPr>
        <w:pStyle w:val="1"/>
      </w:pPr>
      <w:r>
        <w:rPr>
          <w:rFonts w:hint="eastAsia"/>
        </w:rPr>
        <w:t xml:space="preserve">第八章</w:t>
      </w:r>
      <w:r>
        <w:t xml:space="preserve"> </w:t>
      </w:r>
      <w:r>
        <w:rPr>
          <w:rFonts w:hint="eastAsia"/>
        </w:rPr>
        <w:t xml:space="preserve">結論與建議</w:t>
      </w:r>
    </w:p>
    <w:bookmarkStart w:id="18" w:name="研究總結"/>
    <w:p>
      <w:pPr>
        <w:pStyle w:val="2"/>
      </w:pPr>
      <w:r>
        <w:t xml:space="preserve">8.1 </w:t>
      </w:r>
      <w:r>
        <w:rPr>
          <w:rFonts w:hint="eastAsia"/>
        </w:rPr>
        <w:t xml:space="preserve">研究總結</w:t>
      </w:r>
    </w:p>
    <w:p>
      <w:pPr>
        <w:pStyle w:val="FirstParagraph"/>
      </w:pPr>
      <w:r>
        <w:rPr>
          <w:rFonts w:hint="eastAsia"/>
        </w:rPr>
        <w:t xml:space="preserve">本研究旨在利用縱向健檢資料預測三高疾病（高血壓、高血糖、高血脂）的風險，並透過變化量特徵（Delta</w:t>
      </w:r>
      <w:r>
        <w:t xml:space="preserve"> Features, Δ </w:t>
      </w:r>
      <w:r>
        <w:rPr>
          <w:rFonts w:hint="eastAsia"/>
        </w:rPr>
        <w:t xml:space="preserve">Features）的設計，捕捉個體健康狀態的動態變化，以提升預測性能與臨床應用價值。</w:t>
      </w:r>
    </w:p>
    <w:p>
      <w:pPr>
        <w:pStyle w:val="a0"/>
      </w:pPr>
      <w:r>
        <w:rPr>
          <w:rFonts w:hint="eastAsia"/>
        </w:rPr>
        <w:t xml:space="preserve">本研究使用</w:t>
      </w:r>
      <w:r>
        <w:t xml:space="preserve"> Luo et al. (2024) </w:t>
      </w:r>
      <w:r>
        <w:rPr>
          <w:rFonts w:hint="eastAsia"/>
        </w:rPr>
        <w:t xml:space="preserve">公開於</w:t>
      </w:r>
      <w:r>
        <w:t xml:space="preserve"> Dryad </w:t>
      </w:r>
      <w:r>
        <w:rPr>
          <w:rFonts w:hint="eastAsia"/>
        </w:rPr>
        <w:t xml:space="preserve">的縱向健檢資料集（6,056</w:t>
      </w:r>
      <w:r>
        <w:t xml:space="preserve"> </w:t>
      </w:r>
      <w:r>
        <w:rPr>
          <w:rFonts w:hint="eastAsia"/>
        </w:rPr>
        <w:t xml:space="preserve">人），透過滑動窗口方法產生</w:t>
      </w:r>
      <w:r>
        <w:t xml:space="preserve"> 13,514 </w:t>
      </w:r>
      <w:r>
        <w:rPr>
          <w:rFonts w:hint="eastAsia"/>
        </w:rPr>
        <w:t xml:space="preserve">筆建模紀錄，以</w:t>
      </w:r>
      <w:r>
        <w:t xml:space="preserve"> StratifiedGroupKFold 5-fold </w:t>
      </w:r>
      <w:r>
        <w:rPr>
          <w:rFonts w:hint="eastAsia"/>
        </w:rPr>
        <w:t xml:space="preserve">交叉驗證進行系統性的模型比較與消融實驗。在十種機器學習模型的比較中，Logistic</w:t>
      </w:r>
      <w:r>
        <w:t xml:space="preserve"> Regression </w:t>
      </w:r>
      <w:r>
        <w:rPr>
          <w:rFonts w:hint="eastAsia"/>
        </w:rPr>
        <w:t xml:space="preserve">展現最穩定的表現（高血糖</w:t>
      </w:r>
      <w:r>
        <w:t xml:space="preserve"> AUC </w:t>
      </w:r>
      <w:r>
        <w:rPr>
          <w:rFonts w:hint="eastAsia"/>
        </w:rPr>
        <w:t xml:space="preserve">0.938），且僅需前兩大關鍵特徵（同一生物標記的兩個時間點值）即可維持接近完整效能（AUC</w:t>
      </w:r>
      <w:r>
        <w:t xml:space="preserve"> </w:t>
      </w:r>
      <w:r>
        <w:rPr>
          <w:rFonts w:hint="eastAsia"/>
        </w:rPr>
        <w:t xml:space="preserve">降幅在</w:t>
      </w:r>
      <w:r>
        <w:t xml:space="preserve"> 1.5% </w:t>
      </w:r>
      <w:r>
        <w:rPr>
          <w:rFonts w:hint="eastAsia"/>
        </w:rPr>
        <w:t xml:space="preserve">以內）。Δ</w:t>
      </w:r>
      <w:r>
        <w:t xml:space="preserve"> </w:t>
      </w:r>
      <w:r>
        <w:rPr>
          <w:rFonts w:hint="eastAsia"/>
        </w:rPr>
        <w:t xml:space="preserve">特徵雖在消融實驗中對</w:t>
      </w:r>
      <w:r>
        <w:t xml:space="preserve"> AUC </w:t>
      </w:r>
      <w:r>
        <w:rPr>
          <w:rFonts w:hint="eastAsia"/>
        </w:rPr>
        <w:t xml:space="preserve">的獨立貢獻有限（約</w:t>
      </w:r>
      <w:r>
        <w:t xml:space="preserve"> </w:t>
      </w:r>
      <w:r>
        <w:rPr>
          <w:rFonts w:hint="eastAsia"/>
        </w:rPr>
        <w:t xml:space="preserve">2%），但在</w:t>
      </w:r>
      <w:r>
        <w:t xml:space="preserve"> SHAP </w:t>
      </w:r>
      <w:r>
        <w:rPr>
          <w:rFonts w:hint="eastAsia"/>
        </w:rPr>
        <w:t xml:space="preserve">分析中持續出現於重要特徵清單，具有臨床可解釋性的獨立價值。符號回歸發現的單變數公式（如高血糖</w:t>
      </w:r>
      <w:r>
        <w:t xml:space="preserve"> </w:t>
      </w:r>
      <m:oMath>
        <m:r>
          <m:t>0.114</m:t>
        </m:r>
        <m:r>
          <m:rPr>
            <m:sty m:val="p"/>
          </m:rPr>
          <m:t>×</m:t>
        </m:r>
        <m:r>
          <m:t>F</m:t>
        </m:r>
        <m:r>
          <m:t>B</m:t>
        </m:r>
        <m:sSub>
          <m:e>
            <m:r>
              <m:t>G</m:t>
            </m:r>
          </m:e>
          <m:sub>
            <m:r>
              <m:t>Y</m:t>
            </m:r>
            <m:r>
              <m:rPr>
                <m:sty m:val="p"/>
              </m:rPr>
              <m:t>−</m:t>
            </m:r>
            <m:r>
              <m:t>1</m:t>
            </m:r>
          </m:sub>
        </m:sSub>
      </m:oMath>
      <w:r>
        <w:rPr>
          <w:rFonts w:hint="eastAsia"/>
        </w:rPr>
        <w:t xml:space="preserve">，AUC</w:t>
      </w:r>
      <w:r>
        <w:t xml:space="preserve"> </w:t>
      </w:r>
      <w:r>
        <w:rPr>
          <w:rFonts w:hint="eastAsia"/>
        </w:rPr>
        <w:t xml:space="preserve">0.943）進一步展現了簡單模型的實務潛力。</w:t>
      </w:r>
    </w:p>
    <w:p>
      <w:pPr>
        <w:pStyle w:val="a0"/>
      </w:pPr>
      <w:r>
        <w:rPr>
          <w:rFonts w:hint="eastAsia"/>
        </w:rPr>
        <w:t xml:space="preserve">在學術層面，本研究將</w:t>
      </w:r>
      <w:r>
        <w:t xml:space="preserve"> Δ </w:t>
      </w:r>
      <w:r>
        <w:rPr>
          <w:rFonts w:hint="eastAsia"/>
        </w:rPr>
        <w:t xml:space="preserve">特徵從單一疾病（Kanegae</w:t>
      </w:r>
      <w:r>
        <w:t xml:space="preserve"> et al., 2020 </w:t>
      </w:r>
      <w:r>
        <w:rPr>
          <w:rFonts w:hint="eastAsia"/>
        </w:rPr>
        <w:t xml:space="preserve">的高血壓預測）擴展至三高同時預測場景，並透過消融實驗提供跨疾病的實證依據。十種模型的系統性比較涵蓋傳統統計、樹模型、神經網路與符號回歸，搭配類別不平衡處理、資料篩選策略與多任務學習等多組對比實驗，從多個面向驗證了研究方法的穩健性。</w:t>
      </w:r>
    </w:p>
    <w:p>
      <w:pPr>
        <w:pStyle w:val="a0"/>
      </w:pPr>
      <w:r>
        <w:rPr>
          <w:rFonts w:hint="eastAsia"/>
        </w:rPr>
        <w:t xml:space="preserve">在應用層面，SHAP</w:t>
      </w:r>
      <w:r>
        <w:t xml:space="preserve"> </w:t>
      </w:r>
      <w:r>
        <w:rPr>
          <w:rFonts w:hint="eastAsia"/>
        </w:rPr>
        <w:t xml:space="preserve">分析所識別的可干預風險因子（如血糖、血壓的變化趨勢）可輔助臨床判斷與衛教，而符號回歸的簡單公式與</w:t>
      </w:r>
      <w:r>
        <w:t xml:space="preserve"> Top 2 </w:t>
      </w:r>
      <w:r>
        <w:rPr>
          <w:rFonts w:hint="eastAsia"/>
        </w:rPr>
        <w:t xml:space="preserve">特徵模型則顯示精簡方案即可維持實用效能，有利於基層醫療單位部署早期預警系統。健檢次數與預測性能的正相關趨勢，亦為鼓勵民眾定期健檢提供了實證支持。</w:t>
      </w:r>
    </w:p>
    <w:p>
      <w:pPr>
        <w:pStyle w:val="a0"/>
      </w:pPr>
      <w:r>
        <w:rPr>
          <w:rFonts w:hint="eastAsia"/>
        </w:rPr>
        <w:t xml:space="preserve">此外，本研究透過多組穩健性驗證實驗強化了上述結論的可信度：五種類別不平衡處理方法的</w:t>
      </w:r>
      <w:r>
        <w:t xml:space="preserve"> AUC </w:t>
      </w:r>
      <w:r>
        <w:rPr>
          <w:rFonts w:hint="eastAsia"/>
        </w:rPr>
        <w:t xml:space="preserve">差異均小於</w:t>
      </w:r>
      <w:r>
        <w:t xml:space="preserve"> </w:t>
      </w:r>
      <w:r>
        <w:rPr>
          <w:rFonts w:hint="eastAsia"/>
        </w:rPr>
        <w:t xml:space="preserve">0.2%、資料篩選策略的影響不超過</w:t>
      </w:r>
      <w:r>
        <w:t xml:space="preserve"> </w:t>
      </w:r>
      <w:r>
        <w:rPr>
          <w:rFonts w:hint="eastAsia"/>
        </w:rPr>
        <w:t xml:space="preserve">1.3%、多任務學習與單任務學習的差異僅</w:t>
      </w:r>
      <w:r>
        <w:t xml:space="preserve"> </w:t>
      </w:r>
      <w:r>
        <w:rPr>
          <w:rFonts w:hint="eastAsia"/>
        </w:rPr>
        <w:t xml:space="preserve">0.3%，皆顯示主要發現不受特定實驗設定的左右，具有良好的方法穩健性。</w:t>
      </w:r>
    </w:p>
    <w:bookmarkEnd w:id="18"/>
    <w:bookmarkStart w:id="21" w:name="研究限制"/>
    <w:p>
      <w:pPr>
        <w:pStyle w:val="2"/>
      </w:pPr>
      <w:r>
        <w:t xml:space="preserve">8.2 </w:t>
      </w:r>
      <w:r>
        <w:rPr>
          <w:rFonts w:hint="eastAsia"/>
        </w:rPr>
        <w:t xml:space="preserve">研究限制</w:t>
      </w:r>
    </w:p>
    <w:p>
      <w:pPr>
        <w:pStyle w:val="FirstParagraph"/>
      </w:pPr>
      <w:r>
        <w:rPr>
          <w:rFonts w:hint="eastAsia"/>
        </w:rPr>
        <w:t xml:space="preserve">本研究存在以下限制：</w:t>
      </w:r>
    </w:p>
    <w:bookmarkStart w:id="19" w:name="資料限制"/>
    <w:p>
      <w:pPr>
        <w:pStyle w:val="3"/>
      </w:pPr>
      <w:r>
        <w:rPr>
          <w:rFonts w:hint="eastAsia"/>
        </w:rPr>
        <w:t xml:space="preserve">資料限制</w:t>
      </w:r>
    </w:p>
    <w:p>
      <w:pPr>
        <w:pStyle w:val="FirstParagraph"/>
      </w:pPr>
      <w:r>
        <w:rPr>
          <w:rFonts w:hint="eastAsia"/>
          <w:b/>
          <w:bCs/>
        </w:rPr>
        <w:t xml:space="preserve">健檢族群的選擇偏差</w:t>
      </w:r>
    </w:p>
    <w:p>
      <w:pPr>
        <w:pStyle w:val="a0"/>
      </w:pPr>
      <w:r>
        <w:rPr>
          <w:rFonts w:hint="eastAsia"/>
        </w:rPr>
        <w:t xml:space="preserve">本研究使用的縱向健檢資料來自自願參與健康檢查的族群，此族群相較於一般人口可能具有較高的健康意識與社經地位，因此研究結果的外推性（generalizability）可能受限。未來研究應納入更具代表性的一般人口樣本，或進行跨族群的外部驗證。</w:t>
      </w:r>
    </w:p>
    <w:p>
      <w:pPr>
        <w:pStyle w:val="a0"/>
      </w:pPr>
      <w:r>
        <w:rPr>
          <w:rFonts w:hint="eastAsia"/>
          <w:b/>
          <w:bCs/>
        </w:rPr>
        <w:t xml:space="preserve">時間間隔不完全一致</w:t>
      </w:r>
    </w:p>
    <w:p>
      <w:pPr>
        <w:pStyle w:val="a0"/>
      </w:pPr>
      <w:r>
        <w:rPr>
          <w:rFonts w:hint="eastAsia"/>
        </w:rPr>
        <w:t xml:space="preserve">由於健檢資料為真實世界資料，個體間的健檢時間間隔並非完全一致。雖然本研究採用滑動窗口方法盡可能標準化時間窗口，但時間間隔的變異仍可能影響</w:t>
      </w:r>
      <w:r>
        <w:t xml:space="preserve"> Δ </w:t>
      </w:r>
      <w:r>
        <w:rPr>
          <w:rFonts w:hint="eastAsia"/>
        </w:rPr>
        <w:t xml:space="preserve">特徵的可比性。</w:t>
      </w:r>
    </w:p>
    <w:p>
      <w:pPr>
        <w:pStyle w:val="a0"/>
      </w:pPr>
      <w:r>
        <w:rPr>
          <w:rFonts w:hint="eastAsia"/>
          <w:b/>
          <w:bCs/>
        </w:rPr>
        <w:t xml:space="preserve">缺乏飲食與生活型態資料</w:t>
      </w:r>
    </w:p>
    <w:p>
      <w:pPr>
        <w:pStyle w:val="a0"/>
      </w:pPr>
      <w:r>
        <w:rPr>
          <w:rFonts w:hint="eastAsia"/>
        </w:rPr>
        <w:t xml:space="preserve">本研究僅使用生理檢驗指標作為預測特徵，缺乏飲食習慣、運動頻率、吸菸飲酒等生活型態資料。然而，美國膳食指南</w:t>
      </w:r>
      <w:r>
        <w:t xml:space="preserve"> </w:t>
      </w:r>
      <w:r>
        <w:rPr>
          <w:rFonts w:hint="eastAsia"/>
        </w:rPr>
        <w:t xml:space="preserve">2025-2030（Dietary</w:t>
      </w:r>
      <w:r>
        <w:t xml:space="preserve"> Guidelines for Americans, </w:t>
      </w:r>
      <w:r>
        <w:rPr>
          <w:rFonts w:hint="eastAsia"/>
        </w:rPr>
        <w:t xml:space="preserve">DGA）明確指出，飲食模式與三高疾病具有直接且顯著的關聯。例如，添加糖攝取與代謝症候群、超加工食品與慢性疾病的發生皆有密切關係。若能整合飲食資料，預期可進一步提升預測性能並提供更全面的健康管理建議。</w:t>
      </w:r>
    </w:p>
    <w:p>
      <w:pPr>
        <w:pStyle w:val="a0"/>
      </w:pPr>
      <w:r>
        <w:rPr>
          <w:rFonts w:hint="eastAsia"/>
          <w:b/>
          <w:bCs/>
        </w:rPr>
        <w:t xml:space="preserve">缺乏外部驗證資料集</w:t>
      </w:r>
    </w:p>
    <w:p>
      <w:pPr>
        <w:pStyle w:val="a0"/>
      </w:pPr>
      <w:r>
        <w:rPr>
          <w:rFonts w:hint="eastAsia"/>
        </w:rPr>
        <w:t xml:space="preserve">由於缺乏具相似資料結構的外部資料集，本研究僅能透過內部交叉驗證評估模型性能。研究過程中曾嘗試使用</w:t>
      </w:r>
      <w:r>
        <w:t xml:space="preserve"> Synthea </w:t>
      </w:r>
      <w:r>
        <w:rPr>
          <w:rFonts w:hint="eastAsia"/>
        </w:rPr>
        <w:t xml:space="preserve">合成病患產生器（Walonoski</w:t>
      </w:r>
      <w:r>
        <w:t xml:space="preserve"> et al., </w:t>
      </w:r>
      <w:r>
        <w:rPr>
          <w:rFonts w:hint="eastAsia"/>
        </w:rPr>
        <w:t xml:space="preserve">2018）所產生的模擬醫療紀錄進行外部驗證，但受限於資料品質問題：高血糖因檢測偏差導致有</w:t>
      </w:r>
      <w:r>
        <w:t xml:space="preserve"> FBG </w:t>
      </w:r>
      <w:r>
        <w:rPr>
          <w:rFonts w:hint="eastAsia"/>
        </w:rPr>
        <w:t xml:space="preserve">記錄者中</w:t>
      </w:r>
      <w:r>
        <w:t xml:space="preserve"> 99.4% </w:t>
      </w:r>
      <w:r>
        <w:rPr>
          <w:rFonts w:hint="eastAsia"/>
        </w:rPr>
        <w:t xml:space="preserve">為陽性，無法進行有效驗證；高血脂因</w:t>
      </w:r>
      <w:r>
        <w:t xml:space="preserve"> TC </w:t>
      </w:r>
      <w:r>
        <w:rPr>
          <w:rFonts w:hint="eastAsia"/>
        </w:rPr>
        <w:t xml:space="preserve">缺失率達</w:t>
      </w:r>
      <w:r>
        <w:t xml:space="preserve"> </w:t>
      </w:r>
      <w:r>
        <w:rPr>
          <w:rFonts w:hint="eastAsia"/>
        </w:rPr>
        <w:t xml:space="preserve">72%，結果可比性不足。僅高血壓可進行有限度驗證，但在</w:t>
      </w:r>
      <w:r>
        <w:t xml:space="preserve"> SUA </w:t>
      </w:r>
      <w:r>
        <w:rPr>
          <w:rFonts w:hint="eastAsia"/>
        </w:rPr>
        <w:t xml:space="preserve">訓練、Synthea</w:t>
      </w:r>
      <w:r>
        <w:t xml:space="preserve"> </w:t>
      </w:r>
      <w:r>
        <w:rPr>
          <w:rFonts w:hint="eastAsia"/>
        </w:rPr>
        <w:t xml:space="preserve">測試的跨資料集情境下，LR</w:t>
      </w:r>
      <w:r>
        <w:t xml:space="preserve"> </w:t>
      </w:r>
      <w:r>
        <w:rPr>
          <w:rFonts w:hint="eastAsia"/>
        </w:rPr>
        <w:t xml:space="preserve">的</w:t>
      </w:r>
      <w:r>
        <w:t xml:space="preserve"> AUC </w:t>
      </w:r>
      <w:r>
        <w:rPr>
          <w:rFonts w:hint="eastAsia"/>
        </w:rPr>
        <w:t xml:space="preserve">從</w:t>
      </w:r>
      <w:r>
        <w:t xml:space="preserve"> 0.718 </w:t>
      </w:r>
      <w:r>
        <w:rPr>
          <w:rFonts w:hint="eastAsia"/>
        </w:rPr>
        <w:t xml:space="preserve">下降至</w:t>
      </w:r>
      <w:r>
        <w:t xml:space="preserve"> </w:t>
      </w:r>
      <w:r>
        <w:rPr>
          <w:rFonts w:hint="eastAsia"/>
        </w:rPr>
        <w:t xml:space="preserve">0.625（降幅約</w:t>
      </w:r>
      <w:r>
        <w:t xml:space="preserve"> </w:t>
      </w:r>
      <w:r>
        <w:rPr>
          <w:rFonts w:hint="eastAsia"/>
        </w:rPr>
        <w:t xml:space="preserve">9%），此降幅可歸因於兩資料集的族群差異（Synthea</w:t>
      </w:r>
      <w:r>
        <w:t xml:space="preserve"> </w:t>
      </w:r>
      <w:r>
        <w:rPr>
          <w:rFonts w:hint="eastAsia"/>
        </w:rPr>
        <w:t xml:space="preserve">平均年齡</w:t>
      </w:r>
      <w:r>
        <w:t xml:space="preserve"> 43.7 </w:t>
      </w:r>
      <w:r>
        <w:rPr>
          <w:rFonts w:hint="eastAsia"/>
        </w:rPr>
        <w:t xml:space="preserve">歲</w:t>
      </w:r>
      <w:r>
        <w:t xml:space="preserve"> vs SUA 68.1 </w:t>
      </w:r>
      <w:r>
        <w:rPr>
          <w:rFonts w:hint="eastAsia"/>
        </w:rPr>
        <w:t xml:space="preserve">歲）及合成資料的固有限制。此嘗試顯示，外部驗證需取得具相似族群結構的真實健檢資料方能有效執行。</w:t>
      </w:r>
    </w:p>
    <w:bookmarkEnd w:id="19"/>
    <w:bookmarkStart w:id="20" w:name="模型限制"/>
    <w:p>
      <w:pPr>
        <w:pStyle w:val="3"/>
      </w:pPr>
      <w:r>
        <w:rPr>
          <w:rFonts w:hint="eastAsia"/>
        </w:rPr>
        <w:t xml:space="preserve">模型限制</w:t>
      </w:r>
    </w:p>
    <w:p>
      <w:pPr>
        <w:pStyle w:val="FirstParagraph"/>
      </w:pPr>
      <w:r>
        <w:rPr>
          <w:rFonts w:hint="eastAsia"/>
          <w:b/>
          <w:bCs/>
        </w:rPr>
        <w:t xml:space="preserve">標記定義與用藥資訊的缺失</w:t>
      </w:r>
    </w:p>
    <w:p>
      <w:pPr>
        <w:pStyle w:val="a0"/>
      </w:pPr>
      <w:r>
        <w:rPr>
          <w:rFonts w:hint="eastAsia"/>
        </w:rPr>
        <w:t xml:space="preserve">根據</w:t>
      </w:r>
      <w:r>
        <w:t xml:space="preserve"> Luo et al. (2024) </w:t>
      </w:r>
      <w:r>
        <w:rPr>
          <w:rFonts w:hint="eastAsia"/>
        </w:rPr>
        <w:t xml:space="preserve">原始論文，三項疾病的確診標記定義如下：高血壓為</w:t>
      </w:r>
      <w:r>
        <w:t xml:space="preserve"> SBP ≥ 140 </w:t>
      </w:r>
      <w:r>
        <w:rPr>
          <w:rFonts w:hint="eastAsia"/>
        </w:rPr>
        <w:t xml:space="preserve">或</w:t>
      </w:r>
      <w:r>
        <w:t xml:space="preserve"> DBP ≥ 90 </w:t>
      </w:r>
      <w:r>
        <w:rPr>
          <w:rFonts w:hint="eastAsia"/>
        </w:rPr>
        <w:t xml:space="preserve">mmHg，或已確診且正在服用降壓藥物；高血糖為</w:t>
      </w:r>
      <w:r>
        <w:t xml:space="preserve"> FBG ≥ 7.0 </w:t>
      </w:r>
      <w:r>
        <w:rPr>
          <w:rFonts w:hint="eastAsia"/>
        </w:rPr>
        <w:t xml:space="preserve">mmol/L，或自我報告糖尿病；高血脂為</w:t>
      </w:r>
      <w:r>
        <w:t xml:space="preserve"> TC ≥ 6.22 </w:t>
      </w:r>
      <w:r>
        <w:rPr>
          <w:rFonts w:hint="eastAsia"/>
        </w:rPr>
        <w:t xml:space="preserve">mmol/L。然而，本研究對資料集的驗證顯示，所有高血壓陽性紀錄（3,770</w:t>
      </w:r>
      <w:r>
        <w:t xml:space="preserve"> </w:t>
      </w:r>
      <w:r>
        <w:rPr>
          <w:rFonts w:hint="eastAsia"/>
        </w:rPr>
        <w:t xml:space="preserve">筆）皆符合</w:t>
      </w:r>
      <w:r>
        <w:t xml:space="preserve"> SBP ≥ 140 </w:t>
      </w:r>
      <w:r>
        <w:rPr>
          <w:rFonts w:hint="eastAsia"/>
        </w:rPr>
        <w:t xml:space="preserve">或</w:t>
      </w:r>
      <w:r>
        <w:t xml:space="preserve"> DBP ≥ 90 </w:t>
      </w:r>
      <w:r>
        <w:rPr>
          <w:rFonts w:hint="eastAsia"/>
        </w:rPr>
        <w:t xml:space="preserve">的閾值條件，不存在「血壓正常但標記為陽性」的案例。此外，約</w:t>
      </w:r>
      <w:r>
        <w:t xml:space="preserve"> 24.8% </w:t>
      </w:r>
      <w:r>
        <w:rPr>
          <w:rFonts w:hint="eastAsia"/>
        </w:rPr>
        <w:t xml:space="preserve">曾被標記為陽性的個體在後續健檢中因血壓回落至閾值以下而翻轉為陰性。此行為顯示資料集的標記實際上為當次健檢的生理指標快照，而非持續性的疾病狀態標記。</w:t>
      </w:r>
    </w:p>
    <w:p>
      <w:pPr>
        <w:pStyle w:val="a0"/>
      </w:pPr>
      <w:r>
        <w:rPr>
          <w:rFonts w:hint="eastAsia"/>
        </w:rPr>
        <w:t xml:space="preserve">由於資料集不包含用藥紀錄，模型無法區分「血壓自然恢復的健康個體」與「因藥物控制而血壓正常的已確診患者」。此限制意味著模型預測的是「下次健檢時生理指標是否超過閾值」，而非嚴格意義上的持續性疾病狀態。類似地，高血糖的標記亦缺乏用藥或自我報告資訊的佐證，高血脂則因僅使用生理閾值定義，不受此限制影響。未來研究若能取得用藥紀錄，應納入用藥史作為額外特徵或排除條件，以更精確地定義持續性疾病狀態與新發個案。</w:t>
      </w:r>
    </w:p>
    <w:p>
      <w:pPr>
        <w:pStyle w:val="a0"/>
      </w:pPr>
      <w:r>
        <w:rPr>
          <w:rFonts w:hint="eastAsia"/>
          <w:b/>
          <w:bCs/>
        </w:rPr>
        <w:t xml:space="preserve">未探索深度時間序列模型</w:t>
      </w:r>
    </w:p>
    <w:p>
      <w:pPr>
        <w:pStyle w:val="a0"/>
      </w:pPr>
      <w:r>
        <w:rPr>
          <w:rFonts w:hint="eastAsia"/>
        </w:rPr>
        <w:t xml:space="preserve">本研究因時間點數量有限（3個時間點），未能充分探索長短期記憶網路（Long</w:t>
      </w:r>
      <w:r>
        <w:t xml:space="preserve"> Short-Term Memory, </w:t>
      </w:r>
      <w:r>
        <w:rPr>
          <w:rFonts w:hint="eastAsia"/>
        </w:rPr>
        <w:t xml:space="preserve">LSTM）、門控循環單元（Gated</w:t>
      </w:r>
      <w:r>
        <w:t xml:space="preserve"> Recurrent Unit, </w:t>
      </w:r>
      <w:r>
        <w:rPr>
          <w:rFonts w:hint="eastAsia"/>
        </w:rPr>
        <w:t xml:space="preserve">GRU）等深度時間序列模型的潛力。這些模型在處理更長序列的時間序列資料時可能展現更優異的性能。</w:t>
      </w:r>
    </w:p>
    <w:bookmarkEnd w:id="20"/>
    <w:bookmarkEnd w:id="21"/>
    <w:bookmarkStart w:id="25" w:name="未來研究方向"/>
    <w:p>
      <w:pPr>
        <w:pStyle w:val="2"/>
      </w:pPr>
      <w:r>
        <w:t xml:space="preserve">8.3 </w:t>
      </w:r>
      <w:r>
        <w:rPr>
          <w:rFonts w:hint="eastAsia"/>
        </w:rPr>
        <w:t xml:space="preserve">未來研究方向</w:t>
      </w:r>
    </w:p>
    <w:p>
      <w:pPr>
        <w:pStyle w:val="FirstParagraph"/>
      </w:pPr>
      <w:r>
        <w:rPr>
          <w:rFonts w:hint="eastAsia"/>
        </w:rPr>
        <w:t xml:space="preserve">基於本研究的發現與限制，建議未來研究可朝以下方向發展：</w:t>
      </w:r>
    </w:p>
    <w:bookmarkStart w:id="22" w:name="方法論改進"/>
    <w:p>
      <w:pPr>
        <w:pStyle w:val="3"/>
      </w:pPr>
      <w:r>
        <w:rPr>
          <w:rFonts w:hint="eastAsia"/>
        </w:rPr>
        <w:t xml:space="preserve">方法論改進</w:t>
      </w:r>
    </w:p>
    <w:p>
      <w:pPr>
        <w:pStyle w:val="FirstParagraph"/>
      </w:pPr>
      <w:r>
        <w:rPr>
          <w:rFonts w:hint="eastAsia"/>
          <w:b/>
          <w:bCs/>
        </w:rPr>
        <w:t xml:space="preserve">深化多任務學習</w:t>
      </w:r>
    </w:p>
    <w:p>
      <w:pPr>
        <w:pStyle w:val="a0"/>
      </w:pPr>
      <w:r>
        <w:rPr>
          <w:rFonts w:hint="eastAsia"/>
        </w:rPr>
        <w:t xml:space="preserve">本研究的</w:t>
      </w:r>
      <w:r>
        <w:t xml:space="preserve"> MLP </w:t>
      </w:r>
      <w:r>
        <w:rPr>
          <w:rFonts w:hint="eastAsia"/>
        </w:rPr>
        <w:t xml:space="preserve">多任務學習實驗顯示</w:t>
      </w:r>
      <w:r>
        <w:t xml:space="preserve"> MTL </w:t>
      </w:r>
      <w:r>
        <w:rPr>
          <w:rFonts w:hint="eastAsia"/>
        </w:rPr>
        <w:t xml:space="preserve">與</w:t>
      </w:r>
      <w:r>
        <w:t xml:space="preserve"> STL </w:t>
      </w:r>
      <w:r>
        <w:rPr>
          <w:rFonts w:hint="eastAsia"/>
        </w:rPr>
        <w:t xml:space="preserve">無顯著差異（AUC</w:t>
      </w:r>
      <w:r>
        <w:t xml:space="preserve"> </w:t>
      </w:r>
      <w:r>
        <w:rPr>
          <w:rFonts w:hint="eastAsia"/>
        </w:rPr>
        <w:t xml:space="preserve">差異</w:t>
      </w:r>
      <w:r>
        <w:t xml:space="preserve"> ≤ </w:t>
      </w:r>
      <w:r>
        <w:rPr>
          <w:rFonts w:hint="eastAsia"/>
        </w:rPr>
        <w:t xml:space="preserve">0.8%），可能因三項疾病間的標籤相關性偏低，且任務難度不均導致共享層梯度被較易任務主導。未來可探索動態權重調整（dynamic</w:t>
      </w:r>
      <w:r>
        <w:t xml:space="preserve"> weight </w:t>
      </w:r>
      <w:r>
        <w:rPr>
          <w:rFonts w:hint="eastAsia"/>
        </w:rPr>
        <w:t xml:space="preserve">tuning）或梯度平衡（gradient</w:t>
      </w:r>
      <w:r>
        <w:t xml:space="preserve"> </w:t>
      </w:r>
      <w:r>
        <w:rPr>
          <w:rFonts w:hint="eastAsia"/>
        </w:rPr>
        <w:t xml:space="preserve">balancing）等技術，以改善多任務學習在類別不平衡與任務難度不均場景下的表現。</w:t>
      </w:r>
    </w:p>
    <w:p>
      <w:pPr>
        <w:pStyle w:val="a0"/>
      </w:pPr>
      <w:r>
        <w:rPr>
          <w:rFonts w:hint="eastAsia"/>
          <w:b/>
          <w:bCs/>
        </w:rPr>
        <w:t xml:space="preserve">可解釋性分析深化</w:t>
      </w:r>
    </w:p>
    <w:p>
      <w:pPr>
        <w:pStyle w:val="a0"/>
      </w:pPr>
      <w:r>
        <w:rPr>
          <w:rFonts w:hint="eastAsia"/>
        </w:rPr>
        <w:t xml:space="preserve">雖然本研究透過</w:t>
      </w:r>
      <w:r>
        <w:t xml:space="preserve"> SHAP </w:t>
      </w:r>
      <w:r>
        <w:rPr>
          <w:rFonts w:hint="eastAsia"/>
        </w:rPr>
        <w:t xml:space="preserve">與符號回歸進行了初步的可解釋性分析，但仍可進一步探索個體層級的預測解釋（individual-level</w:t>
      </w:r>
      <w:r>
        <w:t xml:space="preserve"> </w:t>
      </w:r>
      <w:r>
        <w:rPr>
          <w:rFonts w:hint="eastAsia"/>
        </w:rPr>
        <w:t xml:space="preserve">explanations）與反事實解釋（counterfactual</w:t>
      </w:r>
      <w:r>
        <w:t xml:space="preserve"> </w:t>
      </w:r>
      <w:r>
        <w:rPr>
          <w:rFonts w:hint="eastAsia"/>
        </w:rPr>
        <w:t xml:space="preserve">explanations），以支持更精細的個人化健康建議。</w:t>
      </w:r>
    </w:p>
    <w:p>
      <w:pPr>
        <w:pStyle w:val="a0"/>
      </w:pPr>
      <w:r>
        <w:rPr>
          <w:rFonts w:hint="eastAsia"/>
          <w:b/>
          <w:bCs/>
        </w:rPr>
        <w:t xml:space="preserve">特徵時序重要性的變化機制</w:t>
      </w:r>
    </w:p>
    <w:p>
      <w:pPr>
        <w:pStyle w:val="a0"/>
      </w:pPr>
      <w:r>
        <w:rPr>
          <w:rFonts w:hint="eastAsia"/>
        </w:rPr>
        <w:t xml:space="preserve">本研究觀察到一個值得深入探討的現象：在滑動窗口擴增樣本量之前（約</w:t>
      </w:r>
      <w:r>
        <w:t xml:space="preserve"> 6,000 </w:t>
      </w:r>
      <w:r>
        <w:rPr>
          <w:rFonts w:hint="eastAsia"/>
        </w:rPr>
        <w:t xml:space="preserve">筆），SHAP</w:t>
      </w:r>
      <w:r>
        <w:t xml:space="preserve"> </w:t>
      </w:r>
      <w:r>
        <w:rPr>
          <w:rFonts w:hint="eastAsia"/>
        </w:rPr>
        <w:t xml:space="preserve">特徵重要性排序為</w:t>
      </w:r>
      <w:r>
        <w:t xml:space="preserve"> Y-1 &gt; </w:t>
      </w:r>
      <w:r>
        <w:rPr>
          <w:rFonts w:hint="eastAsia"/>
        </w:rPr>
        <w:t xml:space="preserve">Y-2（前一年</w:t>
      </w:r>
      <w:r>
        <w:t xml:space="preserve"> &gt; </w:t>
      </w:r>
      <w:r>
        <w:rPr>
          <w:rFonts w:hint="eastAsia"/>
        </w:rPr>
        <w:t xml:space="preserve">前兩年）；然而在滑動窗口擴增至</w:t>
      </w:r>
      <w:r>
        <w:t xml:space="preserve"> 13,514 </w:t>
      </w:r>
      <w:r>
        <w:rPr>
          <w:rFonts w:hint="eastAsia"/>
        </w:rPr>
        <w:t xml:space="preserve">筆之後，高血壓與高血脂的排序翻轉為</w:t>
      </w:r>
      <w:r>
        <w:t xml:space="preserve"> Y-2 &gt; </w:t>
      </w:r>
      <w:r>
        <w:rPr>
          <w:rFonts w:hint="eastAsia"/>
        </w:rPr>
        <w:t xml:space="preserve">Y-1，僅高血糖維持</w:t>
      </w:r>
      <w:r>
        <w:t xml:space="preserve"> Y-1 &gt; </w:t>
      </w:r>
      <w:r>
        <w:rPr>
          <w:rFonts w:hint="eastAsia"/>
        </w:rPr>
        <w:t xml:space="preserve">Y-2（可能因</w:t>
      </w:r>
      <w:r>
        <w:t xml:space="preserve"> FBG </w:t>
      </w:r>
      <w:r>
        <w:rPr>
          <w:rFonts w:hint="eastAsia"/>
        </w:rPr>
        <w:t xml:space="preserve">具有直接前驅特性）。此翻轉現象與</w:t>
      </w:r>
      <w:r>
        <w:t xml:space="preserve"> §7.5 </w:t>
      </w:r>
      <w:r>
        <w:rPr>
          <w:rFonts w:hint="eastAsia"/>
        </w:rPr>
        <w:t xml:space="preserve">健檢次數實驗中早期基線（T1）具有最高單獨預測力的發現一致，暗示當樣本量充足時，模型更能識別早期基線值的長期預測價值。未來研究可進一步探討此排名翻轉的機制——是純粹的樣本量效應，抑或滑動窗口重新定義時間窗口後改變了特徵間的資訊結構——以更深入理解縱向特徵在不同建模條件下的行為差異。</w:t>
      </w:r>
    </w:p>
    <w:bookmarkEnd w:id="22"/>
    <w:bookmarkStart w:id="23" w:name="納入飲食與生活型態特徵"/>
    <w:p>
      <w:pPr>
        <w:pStyle w:val="3"/>
      </w:pPr>
      <w:r>
        <w:rPr>
          <w:rFonts w:hint="eastAsia"/>
        </w:rPr>
        <w:t xml:space="preserve">納入飲食與生活型態特徵</w:t>
      </w:r>
    </w:p>
    <w:p>
      <w:pPr>
        <w:pStyle w:val="FirstParagraph"/>
      </w:pPr>
      <w:r>
        <w:rPr>
          <w:rFonts w:hint="eastAsia"/>
        </w:rPr>
        <w:t xml:space="preserve">如前述研究限制所提及，本研究僅使用生理檢驗指標，缺乏飲食與生活型態資料。然而，DGA</w:t>
      </w:r>
      <w:r>
        <w:t xml:space="preserve"> </w:t>
      </w:r>
      <w:r>
        <w:rPr>
          <w:rFonts w:hint="eastAsia"/>
        </w:rPr>
        <w:t xml:space="preserve">明確指出飲食模式（添加糖攝取、超加工食品頻率、脂肪品質等）與三高疾病具有直接關聯，且飲食介入可預防或減緩疾病進展。若未來研究能取得飲食資料，建議納入超加工食品攝取頻率、添加糖攝取量、飽和脂肪比例等特徵。相較於年齡、性別等不可改變的因子，飲食習慣是高度可干預的風險因子，結合生理指標與飲食特徵預期可同時提升預測性能與健康管理的可操作性。</w:t>
      </w:r>
    </w:p>
    <w:bookmarkEnd w:id="23"/>
    <w:bookmarkStart w:id="24" w:name="模型與資料擴展"/>
    <w:p>
      <w:pPr>
        <w:pStyle w:val="3"/>
      </w:pPr>
      <w:r>
        <w:rPr>
          <w:rFonts w:hint="eastAsia"/>
        </w:rPr>
        <w:t xml:space="preserve">模型與資料擴展</w:t>
      </w:r>
    </w:p>
    <w:p>
      <w:pPr>
        <w:pStyle w:val="FirstParagraph"/>
      </w:pPr>
      <w:r>
        <w:rPr>
          <w:rFonts w:hint="eastAsia"/>
          <w:b/>
          <w:bCs/>
        </w:rPr>
        <w:t xml:space="preserve">時間序列深度學習</w:t>
      </w:r>
    </w:p>
    <w:p>
      <w:pPr>
        <w:pStyle w:val="a0"/>
      </w:pPr>
      <w:r>
        <w:rPr>
          <w:rFonts w:hint="eastAsia"/>
        </w:rPr>
        <w:t xml:space="preserve">若未來能取得更長時間序列的健檢資料（如</w:t>
      </w:r>
      <w:r>
        <w:t xml:space="preserve"> 5 </w:t>
      </w:r>
      <w:r>
        <w:rPr>
          <w:rFonts w:hint="eastAsia"/>
        </w:rPr>
        <w:t xml:space="preserve">個以上時間點），建議探索</w:t>
      </w:r>
      <w:r>
        <w:t xml:space="preserve"> LSTM、GRU </w:t>
      </w:r>
      <w:r>
        <w:rPr>
          <w:rFonts w:hint="eastAsia"/>
        </w:rPr>
        <w:t xml:space="preserve">或轉換器模型（Transformer）等深度時間序列模型，以充分利用縱向資料的時序資訊。</w:t>
      </w:r>
    </w:p>
    <w:p>
      <w:pPr>
        <w:pStyle w:val="a0"/>
      </w:pPr>
      <w:r>
        <w:rPr>
          <w:rFonts w:hint="eastAsia"/>
          <w:b/>
          <w:bCs/>
        </w:rPr>
        <w:t xml:space="preserve">外部驗證與跨族群研究</w:t>
      </w:r>
    </w:p>
    <w:p>
      <w:pPr>
        <w:pStyle w:val="a0"/>
      </w:pPr>
      <w:r>
        <w:rPr>
          <w:rFonts w:hint="eastAsia"/>
        </w:rPr>
        <w:t xml:space="preserve">建議與其他健檢中心或研究機構合作，取得外部驗證資料集，評估模型在不同族群、地區的穩健性與外推性。此外，也可探索模型在不同年齡層、性別、疾病嚴重程度的表現差異。</w:t>
      </w:r>
    </w:p>
    <w:p>
      <w:pPr>
        <w:pStyle w:val="a0"/>
      </w:pPr>
      <w:r>
        <w:rPr>
          <w:rFonts w:hint="eastAsia"/>
          <w:b/>
          <w:bCs/>
        </w:rPr>
        <w:t xml:space="preserve">擴展至其他慢性疾病</w:t>
      </w:r>
    </w:p>
    <w:p>
      <w:pPr>
        <w:pStyle w:val="a0"/>
      </w:pPr>
      <w:r>
        <w:rPr>
          <w:rFonts w:hint="eastAsia"/>
        </w:rPr>
        <w:t xml:space="preserve">本研究的</w:t>
      </w:r>
      <w:r>
        <w:t xml:space="preserve"> Δ </w:t>
      </w:r>
      <w:r>
        <w:rPr>
          <w:rFonts w:hint="eastAsia"/>
        </w:rPr>
        <w:t xml:space="preserve">特徵工程方法與模型比較框架可推廣至其他慢性疾病預測，如心血管疾病、腎臟疾病、代謝症候群等，以驗證方法的通用性。</w:t>
      </w:r>
    </w:p>
    <w:p>
      <w:pPr>
        <w:pStyle w:val="a0"/>
      </w:pPr>
      <w:r>
        <w:rPr>
          <w:rFonts w:hint="eastAsia"/>
          <w:b/>
          <w:bCs/>
        </w:rPr>
        <w:t xml:space="preserve">納入多模態資料</w:t>
      </w:r>
    </w:p>
    <w:p>
      <w:pPr>
        <w:pStyle w:val="a0"/>
      </w:pPr>
      <w:r>
        <w:rPr>
          <w:rFonts w:hint="eastAsia"/>
        </w:rPr>
        <w:t xml:space="preserve">未來可整合更多元的資料來源，如用藥史、家族病史、基因資料、穿戴式裝置的活動數據等，建立更全面的健康風險評估模型。</w:t>
      </w:r>
    </w:p>
    <w:p>
      <w:pPr>
        <w:pStyle w:val="a0"/>
      </w:pPr>
      <w:r>
        <w:rPr>
          <w:rFonts w:hint="eastAsia"/>
        </w:rPr>
        <w:t xml:space="preserve">撰寫狀態：章節重組完成</w:t>
      </w:r>
      <w:r>
        <w:t xml:space="preserve"> </w:t>
      </w:r>
      <w:r>
        <w:rPr>
          <w:rFonts w:hint="eastAsia"/>
        </w:rPr>
        <w:t xml:space="preserve">最後更新：2026-02-24</w:t>
      </w:r>
      <w:r>
        <w:t xml:space="preserve"> </w:t>
      </w:r>
      <w:r>
        <w:rPr>
          <w:rFonts w:hint="eastAsia"/>
        </w:rPr>
        <w:t xml:space="preserve">維護者：紀伯喬</w:t>
      </w:r>
    </w:p>
    <w:bookmarkEnd w:id="24"/>
    <w:bookmarkEnd w:id="25"/>
    <w:bookmarkEnd w:id="26"/>
    <w:sectPr w:rsidR="006D3225" w:rsidRPr="00BE2F6E" w:rsidSect="000C688A">
      <w:footnotePr>
        <w:numRestart w:val="eachSect"/>
      </w:footnotePr>
      <w:pgSz w:h="15840" w:w="12240"/>
      <w:pgMar w:bottom="1418" w:footer="720" w:gutter="0" w:header="720" w:left="1701" w:right="1418" w:top="1985"/>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標楷體">
    <w:panose1 w:val="03000509000000000000"/>
    <w:charset w:val="88"/>
    <w:family w:val="script"/>
    <w:pitch w:val="fixed"/>
    <w:sig w:usb0="00000003" w:usb1="080E0000"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000A991"/>
    <w:multiLevelType w:val="multilevel"/>
    <w:tmpl w:val="55A042E0"/>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
    <w:nsid w:val="00A99411"/>
    <w:multiLevelType w:val="multilevel"/>
    <w:tmpl w:val="0936ADC0"/>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0"/>
  </w:num>
  <w:num w:numId="6">
    <w:abstractNumId w:val="0"/>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0"/>
  </w:num>
  <w:num w:numId="18">
    <w:abstractNumId w:val="0"/>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0"/>
  </w:num>
  <w:num w:numId="2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6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49" v:ext="edit"/>
  </w:hdrShapeDefaults>
  <w:compat>
    <w:useFELayout/>
    <w:compatSetting w:name="compatibilityMode" w:uri="http://schemas.microsoft.com/office/word" w:val="12"/>
    <w:compatSetting w:name="useWord2013TrackBottomHyphenation" w:uri="http://schemas.microsoft.com/office/word" w:val="1"/>
  </w:compat>
  <w:rsids>
    <w:rsidRoot w:val="0069253F"/>
    <w:rsid w:val="000C688A"/>
    <w:rsid w:val="002D44E1"/>
    <w:rsid w:val="0069253F"/>
    <w:rsid w:val="006D3225"/>
    <w:rsid w:val="008D1BC4"/>
    <w:rsid w:val="00A2729A"/>
    <w:rsid w:val="00A75A56"/>
    <w:rsid w:val="00B8724B"/>
    <w:rsid w:val="00BE2F6E"/>
    <w:rsid w:val="00C2227C"/>
    <w:rsid w:val="00C73B26"/>
    <w:rsid w:val="00D70EEA"/>
    <w:rsid w:val="00E16716"/>
    <w:rsid w:val="00F90F98"/>
  </w:rsids>
  <w:themeFontLang w:eastAsia="zh-TW" w:val="en-US"/>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link w:val="10"/>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2" w:type="paragraph">
    <w:name w:val="heading 2"/>
    <w:basedOn w:val="a"/>
    <w:next w:val="a0"/>
    <w:link w:val="20"/>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3" w:type="paragraph">
    <w:name w:val="heading 3"/>
    <w:basedOn w:val="a"/>
    <w:next w:val="a0"/>
    <w:link w:val="30"/>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4" w:type="paragraph">
    <w:name w:val="heading 4"/>
    <w:basedOn w:val="a"/>
    <w:next w:val="a0"/>
    <w:link w:val="40"/>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5" w:type="paragraph">
    <w:name w:val="heading 5"/>
    <w:basedOn w:val="a"/>
    <w:next w:val="a0"/>
    <w:link w:val="50"/>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6" w:type="paragraph">
    <w:name w:val="heading 6"/>
    <w:basedOn w:val="a"/>
    <w:next w:val="a0"/>
    <w:link w:val="60"/>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7" w:type="paragraph">
    <w:name w:val="heading 7"/>
    <w:basedOn w:val="a"/>
    <w:next w:val="a0"/>
    <w:link w:val="70"/>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8" w:type="paragraph">
    <w:name w:val="heading 8"/>
    <w:basedOn w:val="a"/>
    <w:next w:val="a0"/>
    <w:link w:val="80"/>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9" w:type="paragraph">
    <w:name w:val="heading 9"/>
    <w:basedOn w:val="a"/>
    <w:next w:val="a0"/>
    <w:link w:val="90"/>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10FD9"/>
    <w:pPr>
      <w:spacing w:after="80"/>
      <w:contextualSpacing/>
      <w:jc w:val="center"/>
    </w:pPr>
    <w:rPr>
      <w:rFonts w:asciiTheme="majorHAnsi" w:cstheme="majorBidi" w:eastAsiaTheme="majorEastAsia" w:hAnsiTheme="majorHAnsi"/>
      <w:sz w:val="56"/>
      <w:szCs w:val="56"/>
    </w:rPr>
  </w:style>
  <w:style w:customStyle="1" w:styleId="a5" w:type="character">
    <w:name w:val="標題 字元"/>
    <w:basedOn w:val="a1"/>
    <w:link w:val="a4"/>
    <w:uiPriority w:val="10"/>
    <w:rsid w:val="00A10FD9"/>
    <w:rPr>
      <w:rFonts w:asciiTheme="majorHAnsi" w:cstheme="majorBidi" w:eastAsiaTheme="majorEastAsia" w:hAnsiTheme="majorHAnsi"/>
      <w:sz w:val="56"/>
      <w:szCs w:val="56"/>
    </w:rPr>
  </w:style>
  <w:style w:styleId="a6" w:type="paragraph">
    <w:name w:val="Subtitle"/>
    <w:basedOn w:val="a4"/>
    <w:next w:val="a0"/>
    <w:link w:val="a7"/>
    <w:uiPriority w:val="11"/>
    <w:qFormat/>
    <w:rsid w:val="00A10FD9"/>
    <w:pPr>
      <w:numPr>
        <w:ilvl w:val="1"/>
      </w:numPr>
    </w:pPr>
    <w:rPr>
      <w:spacing w:val="15"/>
      <w:sz w:val="28"/>
      <w:szCs w:val="28"/>
    </w:rPr>
  </w:style>
  <w:style w:customStyle="1" w:styleId="a7" w:type="character">
    <w:name w:val="副標題 字元"/>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after="0"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標題 1 字元"/>
    <w:basedOn w:val="a1"/>
    <w:link w:val="1"/>
    <w:uiPriority w:val="9"/>
    <w:rsid w:val="00A10FD9"/>
    <w:rPr>
      <w:rFonts w:asciiTheme="majorHAnsi" w:cstheme="majorBidi" w:eastAsiaTheme="majorEastAsia" w:hAnsiTheme="majorHAnsi"/>
      <w:color w:themeColor="accent1" w:themeShade="BF" w:val="0F4761"/>
      <w:sz w:val="40"/>
      <w:szCs w:val="40"/>
    </w:rPr>
  </w:style>
  <w:style w:customStyle="1" w:styleId="20" w:type="character">
    <w:name w:val="標題 2 字元"/>
    <w:basedOn w:val="a1"/>
    <w:link w:val="2"/>
    <w:uiPriority w:val="9"/>
    <w:semiHidden/>
    <w:rsid w:val="00A10FD9"/>
    <w:rPr>
      <w:rFonts w:asciiTheme="majorHAnsi" w:cstheme="majorBidi" w:eastAsiaTheme="majorEastAsia" w:hAnsiTheme="majorHAnsi"/>
      <w:color w:themeColor="accent1" w:themeShade="BF" w:val="0F4761"/>
      <w:sz w:val="32"/>
      <w:szCs w:val="32"/>
    </w:rPr>
  </w:style>
  <w:style w:customStyle="1" w:styleId="30" w:type="character">
    <w:name w:val="標題 3 字元"/>
    <w:basedOn w:val="a1"/>
    <w:link w:val="3"/>
    <w:uiPriority w:val="9"/>
    <w:semiHidden/>
    <w:rsid w:val="00A10FD9"/>
    <w:rPr>
      <w:rFonts w:cstheme="majorBidi" w:eastAsiaTheme="majorEastAsia"/>
      <w:color w:themeColor="accent1" w:themeShade="BF" w:val="0F4761"/>
      <w:sz w:val="28"/>
      <w:szCs w:val="28"/>
    </w:rPr>
  </w:style>
  <w:style w:customStyle="1" w:styleId="40" w:type="character">
    <w:name w:val="標題 4 字元"/>
    <w:basedOn w:val="a1"/>
    <w:link w:val="4"/>
    <w:uiPriority w:val="9"/>
    <w:semiHidden/>
    <w:rsid w:val="00A10FD9"/>
    <w:rPr>
      <w:rFonts w:cstheme="majorBidi" w:eastAsiaTheme="majorEastAsia"/>
      <w:i/>
      <w:iCs/>
      <w:color w:themeColor="accent1" w:themeShade="BF" w:val="0F4761"/>
    </w:rPr>
  </w:style>
  <w:style w:customStyle="1" w:styleId="50" w:type="character">
    <w:name w:val="標題 5 字元"/>
    <w:basedOn w:val="a1"/>
    <w:link w:val="5"/>
    <w:uiPriority w:val="9"/>
    <w:semiHidden/>
    <w:rsid w:val="00A10FD9"/>
    <w:rPr>
      <w:rFonts w:cstheme="majorBidi" w:eastAsiaTheme="majorEastAsia"/>
      <w:color w:themeColor="accent1" w:themeShade="BF" w:val="0F4761"/>
    </w:rPr>
  </w:style>
  <w:style w:customStyle="1" w:styleId="60" w:type="character">
    <w:name w:val="標題 6 字元"/>
    <w:basedOn w:val="a1"/>
    <w:link w:val="6"/>
    <w:uiPriority w:val="9"/>
    <w:semiHidden/>
    <w:rsid w:val="00A10FD9"/>
    <w:rPr>
      <w:rFonts w:cstheme="majorBidi" w:eastAsiaTheme="majorEastAsia"/>
      <w:i/>
      <w:iCs/>
      <w:color w:themeColor="text1" w:themeTint="A6" w:val="595959"/>
    </w:rPr>
  </w:style>
  <w:style w:customStyle="1" w:styleId="70" w:type="character">
    <w:name w:val="標題 7 字元"/>
    <w:basedOn w:val="a1"/>
    <w:link w:val="7"/>
    <w:uiPriority w:val="9"/>
    <w:semiHidden/>
    <w:rsid w:val="00A10FD9"/>
    <w:rPr>
      <w:rFonts w:cstheme="majorBidi" w:eastAsiaTheme="majorEastAsia"/>
      <w:color w:themeColor="text1" w:themeTint="A6" w:val="595959"/>
    </w:rPr>
  </w:style>
  <w:style w:customStyle="1" w:styleId="80" w:type="character">
    <w:name w:val="標題 8 字元"/>
    <w:basedOn w:val="a1"/>
    <w:link w:val="8"/>
    <w:uiPriority w:val="9"/>
    <w:semiHidden/>
    <w:rsid w:val="00A10FD9"/>
    <w:rPr>
      <w:rFonts w:cstheme="majorBidi" w:eastAsiaTheme="majorEastAsia"/>
      <w:i/>
      <w:iCs/>
      <w:color w:themeColor="text1" w:themeTint="D8" w:val="272727"/>
    </w:rPr>
  </w:style>
  <w:style w:customStyle="1" w:styleId="90" w:type="character">
    <w:name w:val="標題 9 字元"/>
    <w:basedOn w:val="a1"/>
    <w:link w:val="9"/>
    <w:uiPriority w:val="9"/>
    <w:semiHidden/>
    <w:rsid w:val="00A10FD9"/>
    <w:rPr>
      <w:rFonts w:cstheme="majorBidi" w:eastAsiaTheme="majorEastAsia"/>
      <w:color w:themeColor="text1" w:themeTint="D8" w:val="272727"/>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pPr>
      <w:keepNext/>
    </w:pPr>
  </w:style>
  <w:style w:customStyle="1" w:styleId="ImageCaption" w:type="paragraph">
    <w:name w:val="Image Caption"/>
    <w:basedOn w:val="ac"/>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標號 字元"/>
    <w:basedOn w:val="a1"/>
    <w:link w:val="ac"/>
  </w:style>
  <w:style w:customStyle="1" w:styleId="VerbatimChar" w:type="character">
    <w:name w:val="Verbatim Char"/>
    <w:basedOn w:val="ad"/>
    <w:link w:val="SourceCode"/>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af0" w:type="paragraph">
    <w:name w:val="TOC Heading"/>
    <w:basedOn w:val="1"/>
    <w:next w:val="a0"/>
    <w:uiPriority w:val="39"/>
    <w:unhideWhenUsed/>
    <w:qFormat/>
    <w:pPr>
      <w:spacing w:before="240" w:line="259" w:lineRule="auto"/>
      <w:outlineLvl w:val="9"/>
    </w:pPr>
  </w:style>
  <w:style w:customStyle="1" w:styleId="SourceCode" w:type="paragraph">
    <w:name w:val="Source Code"/>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af1" w:type="paragraph">
    <w:name w:val="Balloon Text"/>
    <w:basedOn w:val="a"/>
    <w:link w:val="af2"/>
    <w:rsid w:val="00A2729A"/>
    <w:pPr>
      <w:spacing w:after="0"/>
    </w:pPr>
    <w:rPr>
      <w:rFonts w:asciiTheme="majorHAnsi" w:cstheme="majorBidi" w:eastAsiaTheme="majorEastAsia" w:hAnsiTheme="majorHAnsi"/>
      <w:sz w:val="18"/>
      <w:szCs w:val="18"/>
    </w:rPr>
  </w:style>
  <w:style w:customStyle="1" w:styleId="af2" w:type="character">
    <w:name w:val="註解方塊文字 字元"/>
    <w:basedOn w:val="a1"/>
    <w:link w:val="af1"/>
    <w:rsid w:val="00A2729A"/>
    <w:rPr>
      <w:rFonts w:asciiTheme="majorHAnsi" w:cstheme="majorBidi" w:eastAsiaTheme="majorEastAsia" w:hAnsiTheme="majorHAnsi"/>
      <w:sz w:val="18"/>
      <w:szCs w:val="18"/>
    </w:rPr>
  </w:style>
  <w:style w:styleId="af3" w:type="paragraph">
    <w:name w:val="header"/>
    <w:basedOn w:val="a"/>
    <w:link w:val="af4"/>
    <w:unhideWhenUsed/>
    <w:rsid w:val="00BE2F6E"/>
    <w:pPr>
      <w:tabs>
        <w:tab w:pos="4153" w:val="center"/>
        <w:tab w:pos="8306" w:val="right"/>
      </w:tabs>
      <w:snapToGrid w:val="0"/>
    </w:pPr>
    <w:rPr>
      <w:sz w:val="20"/>
      <w:szCs w:val="20"/>
    </w:rPr>
  </w:style>
  <w:style w:customStyle="1" w:styleId="af4" w:type="character">
    <w:name w:val="頁首 字元"/>
    <w:basedOn w:val="a1"/>
    <w:link w:val="af3"/>
    <w:rsid w:val="00BE2F6E"/>
    <w:rPr>
      <w:sz w:val="20"/>
      <w:szCs w:val="20"/>
    </w:rPr>
  </w:style>
  <w:style w:styleId="af5" w:type="paragraph">
    <w:name w:val="footer"/>
    <w:basedOn w:val="a"/>
    <w:link w:val="af6"/>
    <w:unhideWhenUsed/>
    <w:rsid w:val="00BE2F6E"/>
    <w:pPr>
      <w:tabs>
        <w:tab w:pos="4153" w:val="center"/>
        <w:tab w:pos="8306" w:val="right"/>
      </w:tabs>
      <w:snapToGrid w:val="0"/>
    </w:pPr>
    <w:rPr>
      <w:sz w:val="20"/>
      <w:szCs w:val="20"/>
    </w:rPr>
  </w:style>
  <w:style w:customStyle="1" w:styleId="af6" w:type="character">
    <w:name w:val="頁尾 字元"/>
    <w:basedOn w:val="a1"/>
    <w:link w:val="af5"/>
    <w:rsid w:val="00BE2F6E"/>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media/image2.png" Type="http://schemas.openxmlformats.org/officeDocument/2006/relationships/image" /><Relationship Id="rId7" Target="media/image1.png" Type="http://schemas.openxmlformats.org/officeDocument/2006/relationships/image" /><Relationship Id="rId9" Target="media/image3.png" Type="http://schemas.openxmlformats.org/officeDocument/2006/relationships/image"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15</Pages>
  <Words>1586</Words>
  <Characters>9045</Characters>
  <Application>Microsoft Office Word</Application>
  <DocSecurity>0</DocSecurity>
  <Lines>75</Lines>
  <Paragraphs>21</Paragraphs>
  <ScaleCrop>false</ScaleCrop>
  <Company/>
  <LinksUpToDate>false</LinksUpToDate>
  <CharactersWithSpaces>10610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2026-03-11T06:42:45Z</dcterms:created>
  <dcterms:modified xsi:type="dcterms:W3CDTF">2026-03-11T06:42:45Z</dcterms:modified>
</cp:coreProperties>
</file>

<file path=docProps/custom.xml><?xml version="1.0" encoding="utf-8"?>
<Properties xmlns="http://schemas.openxmlformats.org/officeDocument/2006/custom-properties" xmlns:vt="http://schemas.openxmlformats.org/officeDocument/2006/docPropsVTypes"/>
</file>