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參考文獻"/>
    <w:p>
      <w:pPr>
        <w:pStyle w:val="1"/>
      </w:pPr>
      <w:r>
        <w:rPr>
          <w:rFonts w:hint="eastAsia"/>
        </w:rPr>
        <w:t xml:space="preserve">參考文獻</w:t>
      </w:r>
    </w:p>
    <w:bookmarkStart w:id="18" w:name="英文文獻"/>
    <w:p>
      <w:pPr>
        <w:pStyle w:val="2"/>
      </w:pPr>
      <w:r>
        <w:rPr>
          <w:rFonts w:hint="eastAsia"/>
        </w:rPr>
        <w:t xml:space="preserve">英文文獻</w:t>
      </w:r>
    </w:p>
    <w:p>
      <w:pPr>
        <w:pStyle w:val="FirstParagraph"/>
      </w:pPr>
      <w:r>
        <w:t xml:space="preserve">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 https://doi.org/10.1023/A:1010933404324</w:t>
      </w:r>
    </w:p>
    <w:p>
      <w:pPr>
        <w:pStyle w:val="a0"/>
      </w:pPr>
      <w:r>
        <w:t xml:space="preserve">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a0"/>
      </w:pPr>
      <w:r>
        <w:t xml:space="preserve">Cortes, C., &amp; Vapnik, V. (1995). Support-vector networks.</w:t>
      </w:r>
      <w:r>
        <w:t xml:space="preserve"> </w:t>
      </w:r>
      <w:r>
        <w:rPr>
          <w:i/>
          <w:iCs/>
        </w:rPr>
        <w:t xml:space="preserve">Machine Learning</w:t>
      </w:r>
      <w:r>
        <w:t xml:space="preserve">,</w:t>
      </w:r>
      <w:r>
        <w:t xml:space="preserve"> </w:t>
      </w:r>
      <w:r>
        <w:rPr>
          <w:i/>
          <w:iCs/>
        </w:rPr>
        <w:t xml:space="preserve">20</w:t>
      </w:r>
      <w:r>
        <w:t xml:space="preserve">(3), 273–297. https://doi.org/10.1007/BF00994018</w:t>
      </w:r>
    </w:p>
    <w:p>
      <w:pPr>
        <w:pStyle w:val="a0"/>
      </w:pPr>
      <w:r>
        <w:t xml:space="preserve">Cranmer, M. (2023). Interpretable machine learning for science with PySR and SymbolicRegression.jl.</w:t>
      </w:r>
      <w:r>
        <w:t xml:space="preserve"> </w:t>
      </w:r>
      <w:r>
        <w:rPr>
          <w:i/>
          <w:iCs/>
        </w:rPr>
        <w:t xml:space="preserve">arXiv</w:t>
      </w:r>
      <w:r>
        <w:t xml:space="preserve">. https://doi.org/10.48550/arXiv.2305.01582</w:t>
      </w:r>
    </w:p>
    <w:p>
      <w:pPr>
        <w:pStyle w:val="a0"/>
      </w:pPr>
      <w:r>
        <w:t xml:space="preserve">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Ke, G., Meng, Q., Finley, T., Wang, T., Chen, W., Ma, W., Ye, Q., &amp; Liu, T.-Y. (2017). LightGBM: A highly efficient gradient boosting decision tree. In</w:t>
      </w:r>
      <w:r>
        <w:t xml:space="preserve"> </w:t>
      </w:r>
      <w:r>
        <w:rPr>
          <w:i/>
          <w:iCs/>
        </w:rPr>
        <w:t xml:space="preserve">Advances in Neural Information Processing Systems 30</w:t>
      </w:r>
      <w:r>
        <w:t xml:space="preserve"> </w:t>
      </w:r>
      <w:r>
        <w:t xml:space="preserve">(pp. 3146–3154).</w:t>
      </w:r>
    </w:p>
    <w:p>
      <w:pPr>
        <w:pStyle w:val="a0"/>
      </w:pPr>
      <w:r>
        <w:t xml:space="preserve">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Rumelhart, D. E., Hinton, G. E., &amp; Williams, R. J. (1986). Learning representations by back-propagating errors.</w:t>
      </w:r>
      <w:r>
        <w:t xml:space="preserve"> </w:t>
      </w:r>
      <w:r>
        <w:rPr>
          <w:i/>
          <w:iCs/>
        </w:rPr>
        <w:t xml:space="preserve">Nature</w:t>
      </w:r>
      <w:r>
        <w:t xml:space="preserve">,</w:t>
      </w:r>
      <w:r>
        <w:t xml:space="preserve"> </w:t>
      </w:r>
      <w:r>
        <w:rPr>
          <w:i/>
          <w:iCs/>
        </w:rPr>
        <w:t xml:space="preserve">323</w:t>
      </w:r>
      <w:r>
        <w:t xml:space="preserve">(6088), 533–536. https://doi.org/10.1038/323533a0</w:t>
      </w:r>
    </w:p>
    <w:p>
      <w:pPr>
        <w:pStyle w:val="a0"/>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w:t>
      </w:r>
      <w:r>
        <w:t xml:space="preserve"> </w:t>
      </w:r>
      <w:r>
        <w:rPr>
          <w:i/>
          <w:iCs/>
        </w:rPr>
        <w:t xml:space="preserve">25</w:t>
      </w:r>
      <w:r>
        <w:t xml:space="preserve">(3), 230–238. https://doi.org/10.1093/jamia/ocx079</w:t>
      </w:r>
    </w:p>
    <w:p>
      <w:pPr>
        <w:pStyle w:val="a0"/>
      </w:pPr>
      <w:r>
        <w:t xml:space="preserve">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p>
      <w:pPr>
        <w:pStyle w:val="a0"/>
      </w:pPr>
      <w:r>
        <w:t xml:space="preserve">Zhao, D. (2021). Epidemiological features of cardiovascular disease in Asia.</w:t>
      </w:r>
      <w:r>
        <w:t xml:space="preserve"> </w:t>
      </w:r>
      <w:r>
        <w:rPr>
          <w:i/>
          <w:iCs/>
        </w:rPr>
        <w:t xml:space="preserve">JACC: Asia</w:t>
      </w:r>
      <w:r>
        <w:t xml:space="preserve">,</w:t>
      </w:r>
      <w:r>
        <w:t xml:space="preserve"> </w:t>
      </w:r>
      <w:r>
        <w:rPr>
          <w:i/>
          <w:iCs/>
        </w:rPr>
        <w:t xml:space="preserve">1</w:t>
      </w:r>
      <w:r>
        <w:t xml:space="preserve">(1), 1–13. https://doi.org/10.1016/j.jacasi.2021.04.007</w:t>
      </w:r>
    </w:p>
    <w:bookmarkEnd w:id="18"/>
    <w:bookmarkStart w:id="19" w:name="中文文獻"/>
    <w:p>
      <w:pPr>
        <w:pStyle w:val="2"/>
      </w:pPr>
      <w:r>
        <w:rPr>
          <w:rFonts w:hint="eastAsia"/>
        </w:rPr>
        <w:t xml:space="preserve">中文文獻</w:t>
      </w:r>
    </w:p>
    <w:p>
      <w:pPr>
        <w:pStyle w:val="FirstParagraph"/>
      </w:pP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pPr>
        <w:pStyle w:val="a0"/>
      </w:pPr>
      <w:r>
        <w:rPr>
          <w:rFonts w:hint="eastAsia"/>
          <w:i/>
          <w:iCs/>
        </w:rPr>
        <w:t xml:space="preserve">備註：本文獻清單共</w:t>
      </w:r>
      <w:r>
        <w:rPr>
          <w:i/>
          <w:iCs/>
        </w:rPr>
        <w:t xml:space="preserve"> 37 </w:t>
      </w:r>
      <w:r>
        <w:rPr>
          <w:rFonts w:hint="eastAsia"/>
          <w:i/>
          <w:iCs/>
        </w:rPr>
        <w:t xml:space="preserve">筆（英文</w:t>
      </w:r>
      <w:r>
        <w:rPr>
          <w:i/>
          <w:iCs/>
        </w:rPr>
        <w:t xml:space="preserve"> 35 </w:t>
      </w:r>
      <w:r>
        <w:rPr>
          <w:rFonts w:hint="eastAsia"/>
          <w:i/>
          <w:iCs/>
        </w:rPr>
        <w:t xml:space="preserve">筆、中文</w:t>
      </w:r>
      <w:r>
        <w:rPr>
          <w:i/>
          <w:iCs/>
        </w:rPr>
        <w:t xml:space="preserve"> 2 </w:t>
      </w:r>
      <w:r>
        <w:rPr>
          <w:rFonts w:hint="eastAsia"/>
          <w:i/>
          <w:iCs/>
        </w:rPr>
        <w:t xml:space="preserve">筆），依</w:t>
      </w:r>
      <w:r>
        <w:rPr>
          <w:i/>
          <w:iCs/>
        </w:rPr>
        <w:t xml:space="preserve"> APA </w:t>
      </w:r>
      <w:r>
        <w:rPr>
          <w:rFonts w:hint="eastAsia"/>
          <w:i/>
          <w:iCs/>
        </w:rPr>
        <w:t xml:space="preserve">第七版格式排列。</w:t>
      </w:r>
    </w:p>
    <w:bookmarkEnd w:id="19"/>
    <w:bookmarkEnd w:id="20"/>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2026-03-11T06:42:49Z</dcterms:created>
  <dcterms:modified xsi:type="dcterms:W3CDTF">2026-03-11T06:42:49Z</dcterms:modified>
</cp:coreProperties>
</file>

<file path=docProps/custom.xml><?xml version="1.0" encoding="utf-8"?>
<Properties xmlns="http://schemas.openxmlformats.org/officeDocument/2006/custom-properties" xmlns:vt="http://schemas.openxmlformats.org/officeDocument/2006/docPropsVTypes"/>
</file>