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104CC" w14:textId="34CD1050" w:rsidR="00BD5E36" w:rsidRPr="00BD5E36" w:rsidRDefault="00BD5E36" w:rsidP="00BD5E36">
      <w:pPr>
        <w:pStyle w:val="TableHeading"/>
        <w:rPr>
          <w:b/>
          <w:bCs/>
          <w:i/>
          <w:iCs/>
        </w:rPr>
      </w:pPr>
      <w:r>
        <w:t>Table 3a. Trend direction and significance of trends for concentration and flux at all sites and for all constituents. [NO</w:t>
      </w:r>
      <w:r w:rsidRPr="006D2ADE">
        <w:rPr>
          <w:vertAlign w:val="subscript"/>
        </w:rPr>
        <w:t>3</w:t>
      </w:r>
      <w:r>
        <w:t xml:space="preserve"> C nitrate concentration; NO</w:t>
      </w:r>
      <w:r w:rsidRPr="006D2ADE">
        <w:rPr>
          <w:vertAlign w:val="subscript"/>
        </w:rPr>
        <w:t>3</w:t>
      </w:r>
      <w:r>
        <w:t xml:space="preserve"> F, nitrate flux; NH</w:t>
      </w:r>
      <w:r w:rsidRPr="006D2ADE">
        <w:rPr>
          <w:vertAlign w:val="subscript"/>
        </w:rPr>
        <w:t>3</w:t>
      </w:r>
      <w:r>
        <w:t xml:space="preserve"> C, ammonia concentration; NH</w:t>
      </w:r>
      <w:r w:rsidRPr="006D2ADE">
        <w:rPr>
          <w:vertAlign w:val="subscript"/>
        </w:rPr>
        <w:t>3</w:t>
      </w:r>
      <w:r>
        <w:t xml:space="preserve"> F, ammonia flux; OPC, orthophosphate concentration; OPF, orthophosphate flux; KN C, </w:t>
      </w:r>
      <w:proofErr w:type="spellStart"/>
      <w:r>
        <w:t>Kjeldahl</w:t>
      </w:r>
      <w:proofErr w:type="spellEnd"/>
      <w:r>
        <w:t xml:space="preserve"> nitrogen concentration; KN F, </w:t>
      </w:r>
      <w:proofErr w:type="spellStart"/>
      <w:r>
        <w:t>Kjeldahl</w:t>
      </w:r>
      <w:proofErr w:type="spellEnd"/>
      <w:r>
        <w:t xml:space="preserve"> nitrogen flux, TP C, total phosphorus concentration; TP F, total phosphorus flux; SS C, suspended sediment concentration; SS F, suspended sediment flux; NT: no statistically significant trend, with the criteria that the value of </w:t>
      </w:r>
      <w:r w:rsidRPr="00BA3761">
        <w:rPr>
          <w:rFonts w:ascii="Symbol" w:hAnsi="Symbol"/>
        </w:rPr>
        <w:t></w:t>
      </w:r>
      <w:r>
        <w:rPr>
          <w:rFonts w:ascii="Arial Unicode MS" w:eastAsia="Arial Unicode MS" w:hAnsi="Arial Unicode MS" w:cs="Arial Unicode MS" w:hint="eastAsia"/>
        </w:rPr>
        <w:t xml:space="preserve">̂ </w:t>
      </w:r>
      <w:r>
        <w:rPr>
          <w:rFonts w:ascii="Arial Unicode MS" w:eastAsia="Arial Unicode MS" w:hAnsi="Arial Unicode MS" w:cs="Arial Unicode MS"/>
        </w:rPr>
        <w:t xml:space="preserve">must be </w:t>
      </w:r>
      <w:r>
        <w:sym w:font="Symbol" w:char="F0B3"/>
      </w:r>
      <w:r>
        <w:t xml:space="preserve"> 0.66.]</w:t>
      </w:r>
      <w:r>
        <w:t xml:space="preserve">  </w:t>
      </w:r>
      <w:r>
        <w:rPr>
          <w:b/>
          <w:bCs/>
          <w:i/>
          <w:iCs/>
        </w:rPr>
        <w:t>See Hirsch bootstrap paper for an explanation of the ranges shown in color.</w:t>
      </w:r>
    </w:p>
    <w:tbl>
      <w:tblPr>
        <w:tblStyle w:val="TableGrid"/>
        <w:tblW w:w="8189" w:type="dxa"/>
        <w:tblInd w:w="626" w:type="dxa"/>
        <w:tblLayout w:type="fixed"/>
        <w:tblLook w:val="04A0" w:firstRow="1" w:lastRow="0" w:firstColumn="1" w:lastColumn="0" w:noHBand="0" w:noVBand="1"/>
      </w:tblPr>
      <w:tblGrid>
        <w:gridCol w:w="715"/>
        <w:gridCol w:w="630"/>
        <w:gridCol w:w="630"/>
        <w:gridCol w:w="540"/>
        <w:gridCol w:w="540"/>
        <w:gridCol w:w="634"/>
        <w:gridCol w:w="620"/>
        <w:gridCol w:w="658"/>
        <w:gridCol w:w="612"/>
        <w:gridCol w:w="720"/>
        <w:gridCol w:w="630"/>
        <w:gridCol w:w="630"/>
        <w:gridCol w:w="630"/>
      </w:tblGrid>
      <w:tr w:rsidR="00BD5E36" w14:paraId="7690E129" w14:textId="77777777" w:rsidTr="00005ABB">
        <w:tc>
          <w:tcPr>
            <w:tcW w:w="715" w:type="dxa"/>
            <w:vAlign w:val="bottom"/>
          </w:tcPr>
          <w:p w14:paraId="42C1D097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Site Name</w:t>
            </w:r>
          </w:p>
        </w:tc>
        <w:tc>
          <w:tcPr>
            <w:tcW w:w="630" w:type="dxa"/>
            <w:vAlign w:val="bottom"/>
          </w:tcPr>
          <w:p w14:paraId="206BF977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</w:p>
          <w:p w14:paraId="694DFE14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630" w:type="dxa"/>
            <w:vAlign w:val="bottom"/>
          </w:tcPr>
          <w:p w14:paraId="701939C7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</w:p>
          <w:p w14:paraId="12CA7272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540" w:type="dxa"/>
            <w:vAlign w:val="bottom"/>
          </w:tcPr>
          <w:p w14:paraId="7B95294C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NH</w:t>
            </w: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C</w:t>
            </w:r>
          </w:p>
        </w:tc>
        <w:tc>
          <w:tcPr>
            <w:tcW w:w="540" w:type="dxa"/>
            <w:vAlign w:val="bottom"/>
          </w:tcPr>
          <w:p w14:paraId="245E370E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NH</w:t>
            </w: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F</w:t>
            </w:r>
          </w:p>
        </w:tc>
        <w:tc>
          <w:tcPr>
            <w:tcW w:w="634" w:type="dxa"/>
            <w:vAlign w:val="bottom"/>
          </w:tcPr>
          <w:p w14:paraId="4D72E409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OP C</w:t>
            </w:r>
          </w:p>
        </w:tc>
        <w:tc>
          <w:tcPr>
            <w:tcW w:w="620" w:type="dxa"/>
            <w:vAlign w:val="bottom"/>
          </w:tcPr>
          <w:p w14:paraId="4BA2FFD7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OP F</w:t>
            </w:r>
          </w:p>
        </w:tc>
        <w:tc>
          <w:tcPr>
            <w:tcW w:w="658" w:type="dxa"/>
            <w:vAlign w:val="bottom"/>
          </w:tcPr>
          <w:p w14:paraId="473DBB63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KN C</w:t>
            </w:r>
          </w:p>
        </w:tc>
        <w:tc>
          <w:tcPr>
            <w:tcW w:w="612" w:type="dxa"/>
            <w:vAlign w:val="bottom"/>
          </w:tcPr>
          <w:p w14:paraId="264AAE77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KN F</w:t>
            </w:r>
          </w:p>
        </w:tc>
        <w:tc>
          <w:tcPr>
            <w:tcW w:w="720" w:type="dxa"/>
            <w:vAlign w:val="bottom"/>
          </w:tcPr>
          <w:p w14:paraId="1A13DB7B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TP C</w:t>
            </w:r>
          </w:p>
        </w:tc>
        <w:tc>
          <w:tcPr>
            <w:tcW w:w="630" w:type="dxa"/>
            <w:vAlign w:val="bottom"/>
          </w:tcPr>
          <w:p w14:paraId="06D7C5C5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TP F</w:t>
            </w:r>
          </w:p>
        </w:tc>
        <w:tc>
          <w:tcPr>
            <w:tcW w:w="630" w:type="dxa"/>
            <w:vAlign w:val="bottom"/>
          </w:tcPr>
          <w:p w14:paraId="1ECAC001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SS C</w:t>
            </w:r>
          </w:p>
        </w:tc>
        <w:tc>
          <w:tcPr>
            <w:tcW w:w="630" w:type="dxa"/>
            <w:vAlign w:val="bottom"/>
          </w:tcPr>
          <w:p w14:paraId="6334AAFF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SS F</w:t>
            </w:r>
          </w:p>
        </w:tc>
      </w:tr>
      <w:tr w:rsidR="00BD5E36" w14:paraId="01C0927C" w14:textId="77777777" w:rsidTr="00005ABB">
        <w:tc>
          <w:tcPr>
            <w:tcW w:w="715" w:type="dxa"/>
            <w:vAlign w:val="bottom"/>
          </w:tcPr>
          <w:p w14:paraId="2F1ACAA5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IN1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31DCF362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0471CF7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1D30F26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79D0420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vAlign w:val="bottom"/>
          </w:tcPr>
          <w:p w14:paraId="4581832C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20" w:type="dxa"/>
            <w:shd w:val="clear" w:color="auto" w:fill="E2EFD9" w:themeFill="accent6" w:themeFillTint="33"/>
            <w:vAlign w:val="bottom"/>
          </w:tcPr>
          <w:p w14:paraId="1492023C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58" w:type="dxa"/>
            <w:shd w:val="clear" w:color="auto" w:fill="FFFF00"/>
            <w:vAlign w:val="bottom"/>
          </w:tcPr>
          <w:p w14:paraId="406C63B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B4C6E7" w:themeFill="accent1" w:themeFillTint="66"/>
            <w:vAlign w:val="bottom"/>
          </w:tcPr>
          <w:p w14:paraId="1939DB2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FFFF00"/>
            <w:vAlign w:val="bottom"/>
          </w:tcPr>
          <w:p w14:paraId="5B99ADE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31B05F7D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564C149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3FBE4742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20A7364F" w14:textId="77777777" w:rsidTr="00005ABB">
        <w:tc>
          <w:tcPr>
            <w:tcW w:w="715" w:type="dxa"/>
            <w:vAlign w:val="bottom"/>
          </w:tcPr>
          <w:p w14:paraId="53C05AEA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IN3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156CA1DF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038AB0D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7AAF173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2A1ACDDC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FFFF00"/>
            <w:vAlign w:val="bottom"/>
          </w:tcPr>
          <w:p w14:paraId="615836F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20" w:type="dxa"/>
            <w:shd w:val="clear" w:color="auto" w:fill="E2EFD9" w:themeFill="accent6" w:themeFillTint="33"/>
            <w:vAlign w:val="bottom"/>
          </w:tcPr>
          <w:p w14:paraId="10420EA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58" w:type="dxa"/>
            <w:shd w:val="clear" w:color="auto" w:fill="FFFF00"/>
            <w:vAlign w:val="bottom"/>
          </w:tcPr>
          <w:p w14:paraId="513903D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FFFF00"/>
            <w:vAlign w:val="bottom"/>
          </w:tcPr>
          <w:p w14:paraId="135553E2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FFFF00"/>
            <w:vAlign w:val="bottom"/>
          </w:tcPr>
          <w:p w14:paraId="4B7FB37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7D15603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38199C8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499628C7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40048D48" w14:textId="77777777" w:rsidTr="00005ABB">
        <w:tc>
          <w:tcPr>
            <w:tcW w:w="715" w:type="dxa"/>
            <w:vAlign w:val="bottom"/>
          </w:tcPr>
          <w:p w14:paraId="49DB2A46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TH1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77F1946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09D6E626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1447F23C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2724A4A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B4C6E7" w:themeFill="accent1" w:themeFillTint="66"/>
            <w:vAlign w:val="bottom"/>
          </w:tcPr>
          <w:p w14:paraId="43CCEDF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20" w:type="dxa"/>
            <w:shd w:val="clear" w:color="auto" w:fill="E2EFD9" w:themeFill="accent6" w:themeFillTint="33"/>
            <w:vAlign w:val="bottom"/>
          </w:tcPr>
          <w:p w14:paraId="27D0D92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58" w:type="dxa"/>
            <w:shd w:val="clear" w:color="auto" w:fill="FFFF00"/>
            <w:vAlign w:val="bottom"/>
          </w:tcPr>
          <w:p w14:paraId="12281D5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E2EFD9" w:themeFill="accent6" w:themeFillTint="33"/>
            <w:vAlign w:val="bottom"/>
          </w:tcPr>
          <w:p w14:paraId="27F965F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FFFF00"/>
            <w:vAlign w:val="bottom"/>
          </w:tcPr>
          <w:p w14:paraId="25C9C81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490EE56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5B82F38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49C5B02D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3ADD4E99" w14:textId="77777777" w:rsidTr="00005ABB">
        <w:tc>
          <w:tcPr>
            <w:tcW w:w="715" w:type="dxa"/>
            <w:vAlign w:val="bottom"/>
          </w:tcPr>
          <w:p w14:paraId="09ACE252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ED9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48730B2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007EB25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178C02F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vAlign w:val="bottom"/>
          </w:tcPr>
          <w:p w14:paraId="715B0F1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34" w:type="dxa"/>
            <w:vAlign w:val="bottom"/>
          </w:tcPr>
          <w:p w14:paraId="4D5E6AF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3A39546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58" w:type="dxa"/>
            <w:shd w:val="clear" w:color="auto" w:fill="B4C6E7" w:themeFill="accent1" w:themeFillTint="66"/>
            <w:vAlign w:val="bottom"/>
          </w:tcPr>
          <w:p w14:paraId="4466C2E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FFFF00"/>
            <w:vAlign w:val="bottom"/>
          </w:tcPr>
          <w:p w14:paraId="354F5A67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FFFF00"/>
            <w:vAlign w:val="bottom"/>
          </w:tcPr>
          <w:p w14:paraId="404BF66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3D380D0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2A59AACD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4CFA56B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4CA9B5B8" w14:textId="77777777" w:rsidTr="00005ABB">
        <w:tc>
          <w:tcPr>
            <w:tcW w:w="715" w:type="dxa"/>
            <w:vAlign w:val="bottom"/>
          </w:tcPr>
          <w:p w14:paraId="571D0C30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LH1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106967A8" w14:textId="77777777" w:rsidR="00BD5E36" w:rsidRPr="00AF6C20" w:rsidRDefault="00BD5E36" w:rsidP="00005ABB">
            <w:pPr>
              <w:rPr>
                <w:rFonts w:asciiTheme="minorHAnsi" w:hAnsiTheme="minorHAnsi" w:cstheme="minorHAnsi"/>
                <w:b/>
                <w:bCs/>
                <w:color w:val="FFFF00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36BA3FD2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222F201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04EE490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E2EFD9" w:themeFill="accent6" w:themeFillTint="33"/>
            <w:vAlign w:val="bottom"/>
          </w:tcPr>
          <w:p w14:paraId="44736582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20" w:type="dxa"/>
            <w:vAlign w:val="bottom"/>
          </w:tcPr>
          <w:p w14:paraId="1A0A044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58" w:type="dxa"/>
            <w:shd w:val="clear" w:color="auto" w:fill="B4C6E7" w:themeFill="accent1" w:themeFillTint="66"/>
            <w:vAlign w:val="bottom"/>
          </w:tcPr>
          <w:p w14:paraId="0D528EF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B4C6E7" w:themeFill="accent1" w:themeFillTint="66"/>
            <w:vAlign w:val="bottom"/>
          </w:tcPr>
          <w:p w14:paraId="3342EFD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E2EFD9" w:themeFill="accent6" w:themeFillTint="33"/>
            <w:vAlign w:val="bottom"/>
          </w:tcPr>
          <w:p w14:paraId="29F81D1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vAlign w:val="bottom"/>
          </w:tcPr>
          <w:p w14:paraId="2E7FE8B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7C0FC8FC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049E6C3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3BEA20EF" w14:textId="77777777" w:rsidTr="00005ABB">
        <w:tc>
          <w:tcPr>
            <w:tcW w:w="715" w:type="dxa"/>
            <w:vAlign w:val="bottom"/>
          </w:tcPr>
          <w:p w14:paraId="25AD41D7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GL1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02C3A176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2615E2D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30AD1E9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7C7A68D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FFFF00"/>
            <w:vAlign w:val="bottom"/>
          </w:tcPr>
          <w:p w14:paraId="7F148A2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20" w:type="dxa"/>
            <w:vAlign w:val="bottom"/>
          </w:tcPr>
          <w:p w14:paraId="5204947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58" w:type="dxa"/>
            <w:shd w:val="clear" w:color="auto" w:fill="FFFF00"/>
            <w:vAlign w:val="bottom"/>
          </w:tcPr>
          <w:p w14:paraId="14C0902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B4C6E7" w:themeFill="accent1" w:themeFillTint="66"/>
            <w:vAlign w:val="bottom"/>
          </w:tcPr>
          <w:p w14:paraId="3A66990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E2EFD9" w:themeFill="accent6" w:themeFillTint="33"/>
            <w:vAlign w:val="bottom"/>
          </w:tcPr>
          <w:p w14:paraId="0D09AD96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475519A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26C4E99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6B411C5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381EF313" w14:textId="77777777" w:rsidTr="00005ABB">
        <w:tc>
          <w:tcPr>
            <w:tcW w:w="715" w:type="dxa"/>
            <w:vAlign w:val="bottom"/>
          </w:tcPr>
          <w:p w14:paraId="1FFE4220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TC1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783B7C2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1D1786D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2A9BC9E2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359CA14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FFFF00"/>
            <w:vAlign w:val="bottom"/>
          </w:tcPr>
          <w:p w14:paraId="54E48AF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20" w:type="dxa"/>
            <w:shd w:val="clear" w:color="auto" w:fill="FFFF00"/>
            <w:vAlign w:val="bottom"/>
          </w:tcPr>
          <w:p w14:paraId="5EB3317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58" w:type="dxa"/>
            <w:shd w:val="clear" w:color="auto" w:fill="E2EFD9" w:themeFill="accent6" w:themeFillTint="33"/>
            <w:vAlign w:val="bottom"/>
          </w:tcPr>
          <w:p w14:paraId="1B7C997D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12" w:type="dxa"/>
            <w:vAlign w:val="bottom"/>
          </w:tcPr>
          <w:p w14:paraId="1619174C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720" w:type="dxa"/>
            <w:shd w:val="clear" w:color="auto" w:fill="E2EFD9" w:themeFill="accent6" w:themeFillTint="33"/>
            <w:vAlign w:val="bottom"/>
          </w:tcPr>
          <w:p w14:paraId="5B9F6BA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0DF152C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7E01CB8C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25EAB49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</w:tr>
      <w:tr w:rsidR="00BD5E36" w14:paraId="6EF457A0" w14:textId="77777777" w:rsidTr="00005ABB">
        <w:tc>
          <w:tcPr>
            <w:tcW w:w="715" w:type="dxa"/>
            <w:vAlign w:val="bottom"/>
          </w:tcPr>
          <w:p w14:paraId="1660012A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TC2</w:t>
            </w:r>
          </w:p>
        </w:tc>
        <w:tc>
          <w:tcPr>
            <w:tcW w:w="630" w:type="dxa"/>
            <w:shd w:val="clear" w:color="auto" w:fill="BDD6EE" w:themeFill="accent5" w:themeFillTint="66"/>
            <w:vAlign w:val="bottom"/>
          </w:tcPr>
          <w:p w14:paraId="7C1952E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vAlign w:val="bottom"/>
          </w:tcPr>
          <w:p w14:paraId="728DDC3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4746906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791DEE6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E2EFD9" w:themeFill="accent6" w:themeFillTint="33"/>
            <w:vAlign w:val="bottom"/>
          </w:tcPr>
          <w:p w14:paraId="0C50718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20" w:type="dxa"/>
            <w:shd w:val="clear" w:color="auto" w:fill="FFFF00"/>
            <w:vAlign w:val="bottom"/>
          </w:tcPr>
          <w:p w14:paraId="051F852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58" w:type="dxa"/>
            <w:shd w:val="clear" w:color="auto" w:fill="FFFF00"/>
            <w:vAlign w:val="bottom"/>
          </w:tcPr>
          <w:p w14:paraId="25433B5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FFFF00"/>
            <w:vAlign w:val="bottom"/>
          </w:tcPr>
          <w:p w14:paraId="1F47AE0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B4C6E7" w:themeFill="accent1" w:themeFillTint="66"/>
            <w:vAlign w:val="bottom"/>
          </w:tcPr>
          <w:p w14:paraId="1BED0CD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7011EE4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7AEE8AF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2C55B45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</w:tr>
      <w:tr w:rsidR="00BD5E36" w14:paraId="4C89BD19" w14:textId="77777777" w:rsidTr="00005ABB">
        <w:tc>
          <w:tcPr>
            <w:tcW w:w="715" w:type="dxa"/>
            <w:vAlign w:val="bottom"/>
          </w:tcPr>
          <w:p w14:paraId="2ED29627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TC3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5FD727E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vAlign w:val="bottom"/>
          </w:tcPr>
          <w:p w14:paraId="5C231C5D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4A040C4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1856E5B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B4C6E7" w:themeFill="accent1" w:themeFillTint="66"/>
            <w:vAlign w:val="bottom"/>
          </w:tcPr>
          <w:p w14:paraId="58B8727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20" w:type="dxa"/>
            <w:shd w:val="clear" w:color="auto" w:fill="E2EFD9" w:themeFill="accent6" w:themeFillTint="33"/>
            <w:vAlign w:val="bottom"/>
          </w:tcPr>
          <w:p w14:paraId="370CA4F6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58" w:type="dxa"/>
            <w:shd w:val="clear" w:color="auto" w:fill="B4C6E7" w:themeFill="accent1" w:themeFillTint="66"/>
            <w:vAlign w:val="bottom"/>
          </w:tcPr>
          <w:p w14:paraId="7B2147C2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E2EFD9" w:themeFill="accent6" w:themeFillTint="33"/>
            <w:vAlign w:val="bottom"/>
          </w:tcPr>
          <w:p w14:paraId="46CAC7E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E2EFD9" w:themeFill="accent6" w:themeFillTint="33"/>
            <w:vAlign w:val="bottom"/>
          </w:tcPr>
          <w:p w14:paraId="6C62B38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218DB24F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53FE552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5F153B1D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410076B2" w14:textId="77777777" w:rsidTr="00005ABB">
        <w:tc>
          <w:tcPr>
            <w:tcW w:w="715" w:type="dxa"/>
            <w:vAlign w:val="bottom"/>
          </w:tcPr>
          <w:p w14:paraId="5B2841B2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UT1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326D2CCC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215C4D8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6D15F49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7E558E42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E2EFD9" w:themeFill="accent6" w:themeFillTint="33"/>
            <w:vAlign w:val="bottom"/>
          </w:tcPr>
          <w:p w14:paraId="333F83C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20" w:type="dxa"/>
            <w:vAlign w:val="bottom"/>
          </w:tcPr>
          <w:p w14:paraId="26AEF7E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58" w:type="dxa"/>
            <w:shd w:val="clear" w:color="auto" w:fill="FFFF00"/>
            <w:vAlign w:val="bottom"/>
          </w:tcPr>
          <w:p w14:paraId="216942D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E2EFD9" w:themeFill="accent6" w:themeFillTint="33"/>
            <w:vAlign w:val="bottom"/>
          </w:tcPr>
          <w:p w14:paraId="5E37125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FFFF00"/>
            <w:vAlign w:val="bottom"/>
          </w:tcPr>
          <w:p w14:paraId="01C78FB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5FE024F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34F7AD6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1CC4B27F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75A48699" w14:textId="77777777" w:rsidTr="00005ABB">
        <w:tc>
          <w:tcPr>
            <w:tcW w:w="715" w:type="dxa"/>
            <w:vAlign w:val="bottom"/>
          </w:tcPr>
          <w:p w14:paraId="49D66C38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UT3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42028D37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76F04DE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7BE93F0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3E22EA1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E2EFD9" w:themeFill="accent6" w:themeFillTint="33"/>
            <w:vAlign w:val="bottom"/>
          </w:tcPr>
          <w:p w14:paraId="5C7B87BD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20" w:type="dxa"/>
            <w:shd w:val="clear" w:color="auto" w:fill="E2EFD9" w:themeFill="accent6" w:themeFillTint="33"/>
            <w:vAlign w:val="bottom"/>
          </w:tcPr>
          <w:p w14:paraId="0A13428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58" w:type="dxa"/>
            <w:shd w:val="clear" w:color="auto" w:fill="FFFF00"/>
            <w:vAlign w:val="bottom"/>
          </w:tcPr>
          <w:p w14:paraId="1FEB882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FFFF00"/>
            <w:vAlign w:val="bottom"/>
          </w:tcPr>
          <w:p w14:paraId="29D36E4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FFFF00"/>
            <w:vAlign w:val="bottom"/>
          </w:tcPr>
          <w:p w14:paraId="2F3B5EE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13B4C97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19A0C1C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4735CA7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72CAE1C7" w14:textId="77777777" w:rsidTr="00005ABB">
        <w:tc>
          <w:tcPr>
            <w:tcW w:w="715" w:type="dxa"/>
            <w:vAlign w:val="bottom"/>
          </w:tcPr>
          <w:p w14:paraId="43CCA035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UT5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1C2AD837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32B569F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74AF9E4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E2EFD9" w:themeFill="accent6" w:themeFillTint="33"/>
            <w:vAlign w:val="bottom"/>
          </w:tcPr>
          <w:p w14:paraId="10579FF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E2EFD9" w:themeFill="accent6" w:themeFillTint="33"/>
            <w:vAlign w:val="bottom"/>
          </w:tcPr>
          <w:p w14:paraId="0CA0E44F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20" w:type="dxa"/>
            <w:vAlign w:val="bottom"/>
          </w:tcPr>
          <w:p w14:paraId="13635DC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58" w:type="dxa"/>
            <w:shd w:val="clear" w:color="auto" w:fill="FFFF00"/>
            <w:vAlign w:val="bottom"/>
          </w:tcPr>
          <w:p w14:paraId="661256A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12" w:type="dxa"/>
            <w:shd w:val="clear" w:color="auto" w:fill="B4C6E7" w:themeFill="accent1" w:themeFillTint="66"/>
            <w:vAlign w:val="bottom"/>
          </w:tcPr>
          <w:p w14:paraId="6893A5C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20" w:type="dxa"/>
            <w:shd w:val="clear" w:color="auto" w:fill="FFFF00"/>
            <w:vAlign w:val="bottom"/>
          </w:tcPr>
          <w:p w14:paraId="034AA978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62541797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4F19E222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2F0520DF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795CE9D8" w14:textId="77777777" w:rsidTr="00005ABB">
        <w:tc>
          <w:tcPr>
            <w:tcW w:w="715" w:type="dxa"/>
            <w:vAlign w:val="bottom"/>
          </w:tcPr>
          <w:p w14:paraId="6C44762B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GC1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1976389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67660B7D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50D3A64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629FEDC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FFFF00"/>
            <w:vAlign w:val="bottom"/>
          </w:tcPr>
          <w:p w14:paraId="2C70E2C6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20" w:type="dxa"/>
            <w:shd w:val="clear" w:color="auto" w:fill="E2EFD9" w:themeFill="accent6" w:themeFillTint="33"/>
            <w:vAlign w:val="bottom"/>
          </w:tcPr>
          <w:p w14:paraId="01B8A1B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58" w:type="dxa"/>
            <w:vAlign w:val="bottom"/>
          </w:tcPr>
          <w:p w14:paraId="2320D6E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12" w:type="dxa"/>
            <w:vAlign w:val="bottom"/>
          </w:tcPr>
          <w:p w14:paraId="3DE030B6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720" w:type="dxa"/>
            <w:shd w:val="clear" w:color="auto" w:fill="FFFF00"/>
            <w:vAlign w:val="bottom"/>
          </w:tcPr>
          <w:p w14:paraId="5CB97EB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533F596B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4056526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0" w:type="dxa"/>
            <w:vAlign w:val="bottom"/>
          </w:tcPr>
          <w:p w14:paraId="4AA364C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</w:tr>
      <w:tr w:rsidR="00BD5E36" w14:paraId="67759FBB" w14:textId="77777777" w:rsidTr="00005ABB">
        <w:tc>
          <w:tcPr>
            <w:tcW w:w="715" w:type="dxa"/>
            <w:vAlign w:val="bottom"/>
          </w:tcPr>
          <w:p w14:paraId="7C840A56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BC1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708D83A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00003B4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23EE6FF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0D49ABB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FFFF00"/>
            <w:vAlign w:val="bottom"/>
          </w:tcPr>
          <w:p w14:paraId="5E4DB5C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20" w:type="dxa"/>
            <w:shd w:val="clear" w:color="auto" w:fill="E2EFD9" w:themeFill="accent6" w:themeFillTint="33"/>
            <w:vAlign w:val="bottom"/>
          </w:tcPr>
          <w:p w14:paraId="66440190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58" w:type="dxa"/>
            <w:vAlign w:val="bottom"/>
          </w:tcPr>
          <w:p w14:paraId="59FCE2D4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12" w:type="dxa"/>
            <w:vAlign w:val="bottom"/>
          </w:tcPr>
          <w:p w14:paraId="5596BFF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720" w:type="dxa"/>
            <w:shd w:val="clear" w:color="auto" w:fill="E2EFD9" w:themeFill="accent6" w:themeFillTint="33"/>
            <w:vAlign w:val="bottom"/>
          </w:tcPr>
          <w:p w14:paraId="134F8EF3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vAlign w:val="bottom"/>
          </w:tcPr>
          <w:p w14:paraId="6E2BAB6F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1C5CB32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E2EFD9" w:themeFill="accent6" w:themeFillTint="33"/>
            <w:vAlign w:val="bottom"/>
          </w:tcPr>
          <w:p w14:paraId="2B51429F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</w:tr>
      <w:tr w:rsidR="00BD5E36" w14:paraId="082A917A" w14:textId="77777777" w:rsidTr="00005ABB">
        <w:tc>
          <w:tcPr>
            <w:tcW w:w="715" w:type="dxa"/>
            <w:vAlign w:val="bottom"/>
          </w:tcPr>
          <w:p w14:paraId="267DBE33" w14:textId="77777777" w:rsidR="00BD5E36" w:rsidRPr="00AF6C20" w:rsidRDefault="00BD5E36" w:rsidP="00005A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WC8</w:t>
            </w:r>
          </w:p>
        </w:tc>
        <w:tc>
          <w:tcPr>
            <w:tcW w:w="630" w:type="dxa"/>
            <w:shd w:val="clear" w:color="auto" w:fill="BDD6EE" w:themeFill="accent5" w:themeFillTint="66"/>
            <w:vAlign w:val="bottom"/>
          </w:tcPr>
          <w:p w14:paraId="40F6684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shd w:val="clear" w:color="auto" w:fill="B4C6E7" w:themeFill="accent1" w:themeFillTint="66"/>
            <w:vAlign w:val="bottom"/>
          </w:tcPr>
          <w:p w14:paraId="480AEC5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6618C3AE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540" w:type="dxa"/>
            <w:shd w:val="clear" w:color="auto" w:fill="FFFF00"/>
            <w:vAlign w:val="bottom"/>
          </w:tcPr>
          <w:p w14:paraId="5F17C566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4" w:type="dxa"/>
            <w:shd w:val="clear" w:color="auto" w:fill="FFFF00"/>
            <w:vAlign w:val="bottom"/>
          </w:tcPr>
          <w:p w14:paraId="2DFCB61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20" w:type="dxa"/>
            <w:shd w:val="clear" w:color="auto" w:fill="E2EFD9" w:themeFill="accent6" w:themeFillTint="33"/>
            <w:vAlign w:val="bottom"/>
          </w:tcPr>
          <w:p w14:paraId="52E1861D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58" w:type="dxa"/>
            <w:vAlign w:val="bottom"/>
          </w:tcPr>
          <w:p w14:paraId="30E2DB81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12" w:type="dxa"/>
            <w:vAlign w:val="bottom"/>
          </w:tcPr>
          <w:p w14:paraId="0A0BBCF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720" w:type="dxa"/>
            <w:shd w:val="clear" w:color="auto" w:fill="E2EFD9" w:themeFill="accent6" w:themeFillTint="33"/>
            <w:vAlign w:val="bottom"/>
          </w:tcPr>
          <w:p w14:paraId="7F5CB55A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630" w:type="dxa"/>
            <w:vAlign w:val="bottom"/>
          </w:tcPr>
          <w:p w14:paraId="22A6404C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  <w:tc>
          <w:tcPr>
            <w:tcW w:w="630" w:type="dxa"/>
            <w:shd w:val="clear" w:color="auto" w:fill="FFFF00"/>
            <w:vAlign w:val="bottom"/>
          </w:tcPr>
          <w:p w14:paraId="5EFD6E29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630" w:type="dxa"/>
            <w:vAlign w:val="bottom"/>
          </w:tcPr>
          <w:p w14:paraId="3B7810D5" w14:textId="77777777" w:rsidR="00BD5E36" w:rsidRPr="00AF6C20" w:rsidRDefault="00BD5E36" w:rsidP="00005A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6C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</w:t>
            </w:r>
          </w:p>
        </w:tc>
      </w:tr>
    </w:tbl>
    <w:p w14:paraId="12755F50" w14:textId="39F7A7BA" w:rsidR="00BD5E36" w:rsidRPr="00BD5E36" w:rsidRDefault="00BD5E36" w:rsidP="00BD5E36">
      <w:pPr>
        <w:spacing w:before="0" w:after="160" w:line="259" w:lineRule="auto"/>
        <w:rPr>
          <w:rFonts w:ascii="Times New Roman" w:hAnsi="Times New Roman"/>
        </w:rPr>
      </w:pPr>
      <w:r>
        <w:br w:type="page"/>
      </w:r>
      <w:bookmarkStart w:id="0" w:name="_GoBack"/>
      <w:bookmarkEnd w:id="0"/>
      <w:r>
        <w:lastRenderedPageBreak/>
        <w:t>Table 3b. Description of colors used in Table 3a.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1080"/>
        <w:gridCol w:w="1890"/>
      </w:tblGrid>
      <w:tr w:rsidR="00BD5E36" w14:paraId="2D4392FE" w14:textId="77777777" w:rsidTr="00005ABB">
        <w:tc>
          <w:tcPr>
            <w:tcW w:w="1975" w:type="dxa"/>
          </w:tcPr>
          <w:p w14:paraId="3BD63B8E" w14:textId="77777777" w:rsidR="00BD5E36" w:rsidRDefault="00BD5E36" w:rsidP="00005ABB">
            <w:r>
              <w:t xml:space="preserve">Range of </w:t>
            </w:r>
            <w:r w:rsidRPr="00BA3761">
              <w:rPr>
                <w:rFonts w:ascii="Symbol" w:hAnsi="Symbol"/>
              </w:rPr>
              <w:t></w:t>
            </w:r>
            <w:r>
              <w:rPr>
                <w:rFonts w:ascii="Arial Unicode MS" w:eastAsia="Arial Unicode MS" w:hAnsi="Arial Unicode MS" w:cs="Arial Unicode MS" w:hint="eastAsia"/>
              </w:rPr>
              <w:t>̂</w:t>
            </w:r>
            <w:r>
              <w:t xml:space="preserve"> values</w:t>
            </w:r>
          </w:p>
        </w:tc>
        <w:tc>
          <w:tcPr>
            <w:tcW w:w="1080" w:type="dxa"/>
          </w:tcPr>
          <w:p w14:paraId="24B798F8" w14:textId="77777777" w:rsidR="00BD5E36" w:rsidRDefault="00BD5E36" w:rsidP="00005ABB">
            <w:r>
              <w:t>Color</w:t>
            </w:r>
          </w:p>
        </w:tc>
        <w:tc>
          <w:tcPr>
            <w:tcW w:w="1890" w:type="dxa"/>
          </w:tcPr>
          <w:p w14:paraId="32742887" w14:textId="77777777" w:rsidR="00BD5E36" w:rsidRDefault="00BD5E36" w:rsidP="00005ABB">
            <w:r>
              <w:t>Color Explanation</w:t>
            </w:r>
          </w:p>
        </w:tc>
      </w:tr>
      <w:tr w:rsidR="00BD5E36" w14:paraId="1AF74480" w14:textId="77777777" w:rsidTr="00005ABB">
        <w:tc>
          <w:tcPr>
            <w:tcW w:w="1975" w:type="dxa"/>
          </w:tcPr>
          <w:p w14:paraId="146AECD9" w14:textId="77777777" w:rsidR="00BD5E36" w:rsidRDefault="00BD5E36" w:rsidP="00005ABB">
            <w:r>
              <w:sym w:font="Symbol" w:char="F0B3"/>
            </w:r>
            <w:r>
              <w:t xml:space="preserve"> 0.95  </w:t>
            </w:r>
          </w:p>
        </w:tc>
        <w:tc>
          <w:tcPr>
            <w:tcW w:w="1080" w:type="dxa"/>
            <w:shd w:val="clear" w:color="auto" w:fill="FFFF00"/>
          </w:tcPr>
          <w:p w14:paraId="650CFAC0" w14:textId="77777777" w:rsidR="00BD5E36" w:rsidRDefault="00BD5E36" w:rsidP="00005ABB"/>
        </w:tc>
        <w:tc>
          <w:tcPr>
            <w:tcW w:w="1890" w:type="dxa"/>
          </w:tcPr>
          <w:p w14:paraId="3DFC8140" w14:textId="77777777" w:rsidR="00BD5E36" w:rsidRDefault="00BD5E36" w:rsidP="00005ABB">
            <w:r>
              <w:t>Highly likely</w:t>
            </w:r>
          </w:p>
        </w:tc>
      </w:tr>
      <w:tr w:rsidR="00BD5E36" w14:paraId="4A9AA13E" w14:textId="77777777" w:rsidTr="00005ABB">
        <w:tc>
          <w:tcPr>
            <w:tcW w:w="1975" w:type="dxa"/>
          </w:tcPr>
          <w:p w14:paraId="1B0BAA95" w14:textId="77777777" w:rsidR="00BD5E36" w:rsidRDefault="00BD5E36" w:rsidP="00005ABB">
            <w:r>
              <w:sym w:font="Symbol" w:char="F0B3"/>
            </w:r>
            <w:r>
              <w:t xml:space="preserve"> 0.9 </w:t>
            </w:r>
            <w:r>
              <w:rPr>
                <w:i/>
              </w:rPr>
              <w:t>and</w:t>
            </w:r>
            <w:r>
              <w:t xml:space="preserve"> &lt; 0.95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299BE5EE" w14:textId="77777777" w:rsidR="00BD5E36" w:rsidRDefault="00BD5E36" w:rsidP="00005ABB"/>
        </w:tc>
        <w:tc>
          <w:tcPr>
            <w:tcW w:w="1890" w:type="dxa"/>
          </w:tcPr>
          <w:p w14:paraId="5CD0A018" w14:textId="77777777" w:rsidR="00BD5E36" w:rsidRDefault="00BD5E36" w:rsidP="00005ABB">
            <w:r>
              <w:t>Very likely</w:t>
            </w:r>
          </w:p>
        </w:tc>
      </w:tr>
      <w:tr w:rsidR="00BD5E36" w14:paraId="4E0262C4" w14:textId="77777777" w:rsidTr="00005ABB">
        <w:tc>
          <w:tcPr>
            <w:tcW w:w="1975" w:type="dxa"/>
          </w:tcPr>
          <w:p w14:paraId="2928B046" w14:textId="77777777" w:rsidR="00BD5E36" w:rsidRDefault="00BD5E36" w:rsidP="00005ABB">
            <w:r>
              <w:sym w:font="Symbol" w:char="F0B3"/>
            </w:r>
            <w:r>
              <w:t xml:space="preserve"> 0.66 </w:t>
            </w:r>
            <w:r>
              <w:rPr>
                <w:i/>
              </w:rPr>
              <w:t>and</w:t>
            </w:r>
            <w:r>
              <w:t xml:space="preserve"> &lt; 0.9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18FF44B9" w14:textId="77777777" w:rsidR="00BD5E36" w:rsidRDefault="00BD5E36" w:rsidP="00005ABB"/>
        </w:tc>
        <w:tc>
          <w:tcPr>
            <w:tcW w:w="1890" w:type="dxa"/>
          </w:tcPr>
          <w:p w14:paraId="13FC3823" w14:textId="77777777" w:rsidR="00BD5E36" w:rsidRDefault="00BD5E36" w:rsidP="00005ABB">
            <w:r>
              <w:t>Likely</w:t>
            </w:r>
          </w:p>
        </w:tc>
      </w:tr>
    </w:tbl>
    <w:p w14:paraId="084E7C92" w14:textId="77777777" w:rsidR="00943C68" w:rsidRDefault="00943C68"/>
    <w:sectPr w:rsidR="00943C68" w:rsidSect="00BA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36"/>
    <w:rsid w:val="00943C68"/>
    <w:rsid w:val="00BA0663"/>
    <w:rsid w:val="00B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3602"/>
  <w15:chartTrackingRefBased/>
  <w15:docId w15:val="{D68FD264-2C8D-2147-93B2-C4071EA8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5E36"/>
    <w:pPr>
      <w:spacing w:before="120" w:after="120" w:line="360" w:lineRule="auto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E3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Heading"/>
    <w:basedOn w:val="Normal"/>
    <w:link w:val="TableHeadingChar"/>
    <w:qFormat/>
    <w:rsid w:val="00BD5E36"/>
    <w:rPr>
      <w:rFonts w:ascii="Times New Roman" w:hAnsi="Times New Roman"/>
    </w:rPr>
  </w:style>
  <w:style w:type="character" w:customStyle="1" w:styleId="TableHeadingChar">
    <w:name w:val="TableHeading Char"/>
    <w:basedOn w:val="DefaultParagraphFont"/>
    <w:link w:val="TableHeading"/>
    <w:rsid w:val="00BD5E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2019-08-29T18:32:00Z</dcterms:created>
  <dcterms:modified xsi:type="dcterms:W3CDTF">2019-08-29T18:35:00Z</dcterms:modified>
</cp:coreProperties>
</file>