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F31FB" w14:textId="77777777" w:rsidR="00540CCB" w:rsidRPr="00540CCB" w:rsidRDefault="00540CCB" w:rsidP="00540CCB">
      <w:pPr>
        <w:spacing w:after="0" w:line="240" w:lineRule="auto"/>
        <w:rPr>
          <w:i/>
          <w:color w:val="4472C4" w:themeColor="accent1"/>
        </w:rPr>
      </w:pPr>
      <w:r w:rsidRPr="00540CCB">
        <w:rPr>
          <w:i/>
          <w:color w:val="4472C4" w:themeColor="accent1"/>
        </w:rPr>
        <w:t>San Francisco Bay-Delta Priority Ecosystems Science Concept Proposal FY19 (submitted July 2018)</w:t>
      </w:r>
    </w:p>
    <w:p w14:paraId="6F2D218E" w14:textId="77777777" w:rsidR="00540CCB" w:rsidRDefault="00540CCB" w:rsidP="00540CCB">
      <w:pPr>
        <w:spacing w:after="0" w:line="240" w:lineRule="auto"/>
      </w:pPr>
    </w:p>
    <w:p w14:paraId="316D2758" w14:textId="77777777" w:rsidR="00540CCB" w:rsidRPr="00540CCB" w:rsidRDefault="00540CCB" w:rsidP="00540CCB">
      <w:pPr>
        <w:spacing w:after="0" w:line="240" w:lineRule="auto"/>
        <w:rPr>
          <w:b/>
        </w:rPr>
      </w:pPr>
      <w:r w:rsidRPr="00540CCB">
        <w:rPr>
          <w:i/>
          <w:color w:val="4472C4" w:themeColor="accent1"/>
        </w:rPr>
        <w:t>1. Title:</w:t>
      </w:r>
      <w:r w:rsidRPr="00540CCB">
        <w:rPr>
          <w:color w:val="4472C4" w:themeColor="accent1"/>
        </w:rPr>
        <w:t xml:space="preserve"> </w:t>
      </w:r>
      <w:r w:rsidRPr="00540CCB">
        <w:rPr>
          <w:b/>
        </w:rPr>
        <w:t xml:space="preserve">Understanding How Invasive Aquatic Vegetation Alters </w:t>
      </w:r>
      <w:proofErr w:type="spellStart"/>
      <w:r w:rsidRPr="00540CCB">
        <w:rPr>
          <w:b/>
        </w:rPr>
        <w:t>Phytoplantkon</w:t>
      </w:r>
      <w:proofErr w:type="spellEnd"/>
      <w:r w:rsidRPr="00540CCB">
        <w:rPr>
          <w:b/>
        </w:rPr>
        <w:t xml:space="preserve"> Community Abundance and Species Composition and Impacts the Pelagic </w:t>
      </w:r>
      <w:proofErr w:type="spellStart"/>
      <w:r w:rsidRPr="00540CCB">
        <w:rPr>
          <w:b/>
        </w:rPr>
        <w:t>Foodweb</w:t>
      </w:r>
      <w:proofErr w:type="spellEnd"/>
    </w:p>
    <w:p w14:paraId="438B1E08" w14:textId="77777777" w:rsidR="00540CCB" w:rsidRDefault="00540CCB" w:rsidP="00540CCB">
      <w:pPr>
        <w:spacing w:after="0" w:line="240" w:lineRule="auto"/>
      </w:pPr>
    </w:p>
    <w:p w14:paraId="4B0BE230" w14:textId="77777777" w:rsidR="00540CCB" w:rsidRDefault="00540CCB" w:rsidP="00540CCB">
      <w:pPr>
        <w:spacing w:after="0" w:line="240" w:lineRule="auto"/>
      </w:pPr>
      <w:r w:rsidRPr="00540CCB">
        <w:rPr>
          <w:i/>
          <w:color w:val="4472C4" w:themeColor="accent1"/>
        </w:rPr>
        <w:t>2. Focus Area(s):</w:t>
      </w:r>
      <w:r w:rsidRPr="00540CCB">
        <w:rPr>
          <w:color w:val="4472C4" w:themeColor="accent1"/>
        </w:rPr>
        <w:t xml:space="preserve"> </w:t>
      </w:r>
      <w:r w:rsidR="005170B9" w:rsidRPr="005170B9">
        <w:t>Addressing the multi-stressor problem</w:t>
      </w:r>
    </w:p>
    <w:p w14:paraId="21F117A4" w14:textId="77777777" w:rsidR="00540CCB" w:rsidRDefault="00540CCB" w:rsidP="00540CCB">
      <w:pPr>
        <w:spacing w:after="0" w:line="240" w:lineRule="auto"/>
      </w:pPr>
    </w:p>
    <w:p w14:paraId="3924BE01" w14:textId="77777777" w:rsidR="00540CCB" w:rsidRPr="00540CCB" w:rsidRDefault="00540CCB" w:rsidP="00540CCB">
      <w:pPr>
        <w:spacing w:after="0" w:line="240" w:lineRule="auto"/>
        <w:rPr>
          <w:i/>
          <w:color w:val="4472C4" w:themeColor="accent1"/>
        </w:rPr>
      </w:pPr>
      <w:r w:rsidRPr="00540CCB">
        <w:rPr>
          <w:i/>
          <w:color w:val="4472C4" w:themeColor="accent1"/>
        </w:rPr>
        <w:t>3. Concept</w:t>
      </w:r>
    </w:p>
    <w:p w14:paraId="6BD5E5D3" w14:textId="16108D97" w:rsidR="009604E9" w:rsidRDefault="00540CCB" w:rsidP="00540CCB">
      <w:pPr>
        <w:spacing w:after="0" w:line="240" w:lineRule="auto"/>
      </w:pPr>
      <w:r>
        <w:t xml:space="preserve">The increase in the abundance and distribution of </w:t>
      </w:r>
      <w:r w:rsidR="006C696F">
        <w:t xml:space="preserve">invasive </w:t>
      </w:r>
      <w:r>
        <w:t xml:space="preserve">floating and submerged aquatic </w:t>
      </w:r>
      <w:r w:rsidR="009E6BCC">
        <w:t>vegetation</w:t>
      </w:r>
      <w:r>
        <w:t xml:space="preserve"> (macrophytes) in the Delta is of growing concern due to issues for navigation and water supply, and their effects on physical habitat</w:t>
      </w:r>
      <w:r w:rsidR="009604E9">
        <w:t xml:space="preserve"> by trapping sediment</w:t>
      </w:r>
      <w:r>
        <w:t xml:space="preserve">, </w:t>
      </w:r>
      <w:r w:rsidR="009604E9">
        <w:t xml:space="preserve">and water quality impacts on </w:t>
      </w:r>
      <w:r w:rsidR="00CA47BF">
        <w:t xml:space="preserve">water temperature, </w:t>
      </w:r>
      <w:r>
        <w:t>dissolved oxygen, pH</w:t>
      </w:r>
      <w:r w:rsidR="006C696F">
        <w:t xml:space="preserve"> and nutrient concentrations </w:t>
      </w:r>
      <w:r w:rsidR="005170B9">
        <w:t xml:space="preserve">(Boyer and </w:t>
      </w:r>
      <w:proofErr w:type="spellStart"/>
      <w:r w:rsidRPr="00540CCB">
        <w:t>Sutula</w:t>
      </w:r>
      <w:proofErr w:type="spellEnd"/>
      <w:r w:rsidRPr="00540CCB">
        <w:t xml:space="preserve"> 2016).</w:t>
      </w:r>
      <w:r>
        <w:t xml:space="preserve"> </w:t>
      </w:r>
      <w:r w:rsidR="00CA47BF">
        <w:t>A</w:t>
      </w:r>
      <w:r>
        <w:t>quatic plants also play a</w:t>
      </w:r>
      <w:r w:rsidR="009604E9">
        <w:t xml:space="preserve">n important </w:t>
      </w:r>
      <w:r>
        <w:t>role in shaping phytoplankton abundance and species composition</w:t>
      </w:r>
      <w:r w:rsidR="009604E9">
        <w:t xml:space="preserve"> through providing a substrate for epiphytic diatoms and other algae and cyanobacteria to attach, and by reducing</w:t>
      </w:r>
      <w:r>
        <w:t xml:space="preserve"> </w:t>
      </w:r>
      <w:r w:rsidR="009604E9">
        <w:t xml:space="preserve">light available for photosynthesis lower in the water column. Alterations in the phytoplankton community associated with invasive aquatic macrophytes, if occurring, could cause changes in downstream grazers and the </w:t>
      </w:r>
      <w:proofErr w:type="spellStart"/>
      <w:r w:rsidR="009604E9">
        <w:t>foodwebs</w:t>
      </w:r>
      <w:proofErr w:type="spellEnd"/>
      <w:r w:rsidR="009604E9">
        <w:t xml:space="preserve"> </w:t>
      </w:r>
      <w:r w:rsidR="00D95962">
        <w:t xml:space="preserve">and fisheries </w:t>
      </w:r>
      <w:r w:rsidR="009604E9">
        <w:t xml:space="preserve">they support. </w:t>
      </w:r>
    </w:p>
    <w:p w14:paraId="0937DD8D" w14:textId="77777777" w:rsidR="009604E9" w:rsidRDefault="009604E9" w:rsidP="00540CCB">
      <w:pPr>
        <w:spacing w:after="0" w:line="240" w:lineRule="auto"/>
      </w:pPr>
    </w:p>
    <w:p w14:paraId="1A3A3182" w14:textId="3285EDC0" w:rsidR="00540CCB" w:rsidRDefault="00540CCB" w:rsidP="00540CCB">
      <w:pPr>
        <w:spacing w:after="0" w:line="240" w:lineRule="auto"/>
      </w:pPr>
      <w:r>
        <w:t>Declines in phytoplankton, particularly diatoms, have been documented in many regions of the Delta</w:t>
      </w:r>
      <w:r w:rsidR="00D95962">
        <w:t xml:space="preserve">, </w:t>
      </w:r>
      <w:r>
        <w:t xml:space="preserve">and expansion of macrophytes is </w:t>
      </w:r>
      <w:r w:rsidR="00D95962">
        <w:t xml:space="preserve">one possible mechanism. Macrophytes reduce turbulence and are </w:t>
      </w:r>
      <w:r>
        <w:t xml:space="preserve">likely to enhance </w:t>
      </w:r>
      <w:r w:rsidR="00D95962">
        <w:t xml:space="preserve">phytoplankton </w:t>
      </w:r>
      <w:r>
        <w:t xml:space="preserve">losses </w:t>
      </w:r>
      <w:proofErr w:type="gramStart"/>
      <w:r>
        <w:t>similar to</w:t>
      </w:r>
      <w:proofErr w:type="gramEnd"/>
      <w:r>
        <w:t xml:space="preserve"> how </w:t>
      </w:r>
      <w:r w:rsidR="00D95962">
        <w:t xml:space="preserve">sediment is </w:t>
      </w:r>
      <w:r>
        <w:t>trap</w:t>
      </w:r>
      <w:r w:rsidR="00D95962">
        <w:t>ped beneath plant beds</w:t>
      </w:r>
      <w:r w:rsidR="00CB29F3">
        <w:t xml:space="preserve">.  </w:t>
      </w:r>
      <w:r>
        <w:t>In a recent study we found that phytoplankton in the lower Sacramento River and Norther</w:t>
      </w:r>
      <w:r w:rsidR="00CB29F3">
        <w:t>n</w:t>
      </w:r>
      <w:r>
        <w:t xml:space="preserve"> Delta were strongly dominated by large benthic diatoms, which, in contrast to small planktonic species, are prone to settling (Kraus et al. 2017; </w:t>
      </w:r>
      <w:proofErr w:type="spellStart"/>
      <w:r>
        <w:t>Stumpner</w:t>
      </w:r>
      <w:proofErr w:type="spellEnd"/>
      <w:r>
        <w:t xml:space="preserve"> et al. in draft). Settling losses may be exacerbated by macrophytes through deposition, enhancing concentrations of cells near the bottom where </w:t>
      </w:r>
      <w:r w:rsidR="009D648F">
        <w:t xml:space="preserve">grazing </w:t>
      </w:r>
      <w:r>
        <w:t xml:space="preserve">clams </w:t>
      </w:r>
      <w:r w:rsidR="009D648F">
        <w:t>are sometimes abundant</w:t>
      </w:r>
      <w:r>
        <w:t xml:space="preserve">. This hypothesis </w:t>
      </w:r>
      <w:r w:rsidR="006C696F">
        <w:t xml:space="preserve">is </w:t>
      </w:r>
      <w:r>
        <w:t xml:space="preserve">supported by recent modeling </w:t>
      </w:r>
      <w:r w:rsidR="009D648F">
        <w:t>(</w:t>
      </w:r>
      <w:r>
        <w:t xml:space="preserve">Lucas et al. 2016) </w:t>
      </w:r>
      <w:r w:rsidR="009D648F">
        <w:t xml:space="preserve">that </w:t>
      </w:r>
      <w:r>
        <w:t>demonstrat</w:t>
      </w:r>
      <w:r w:rsidR="009D648F">
        <w:t>ed</w:t>
      </w:r>
      <w:r>
        <w:t xml:space="preserve"> sinking losses of diatoms over non-diatoms; losses of diatoms </w:t>
      </w:r>
      <w:proofErr w:type="spellStart"/>
      <w:r>
        <w:t>to clam</w:t>
      </w:r>
      <w:proofErr w:type="spellEnd"/>
      <w:r>
        <w:t xml:space="preserve"> grazing were particularly evident during slack tides and periods of thermal stratification</w:t>
      </w:r>
      <w:r w:rsidR="009D648F">
        <w:t xml:space="preserve"> when sinking rates are highest for diatoms</w:t>
      </w:r>
      <w:r>
        <w:t xml:space="preserve">. </w:t>
      </w:r>
      <w:r w:rsidR="009E6BCC">
        <w:t xml:space="preserve">Aquatic vegetation may </w:t>
      </w:r>
      <w:r w:rsidR="00CB29F3">
        <w:t xml:space="preserve">also </w:t>
      </w:r>
      <w:r w:rsidR="007A575B">
        <w:t xml:space="preserve">create conditions </w:t>
      </w:r>
      <w:r w:rsidR="009D648F">
        <w:t>favoring</w:t>
      </w:r>
      <w:r w:rsidR="007A575B">
        <w:t xml:space="preserve"> harmful algae such as </w:t>
      </w:r>
      <w:proofErr w:type="spellStart"/>
      <w:r w:rsidR="007A575B" w:rsidRPr="007A575B">
        <w:rPr>
          <w:i/>
        </w:rPr>
        <w:t>Microcy</w:t>
      </w:r>
      <w:r w:rsidR="007A575B">
        <w:rPr>
          <w:i/>
        </w:rPr>
        <w:t>st</w:t>
      </w:r>
      <w:r w:rsidR="007A575B" w:rsidRPr="007A575B">
        <w:rPr>
          <w:i/>
        </w:rPr>
        <w:t>is</w:t>
      </w:r>
      <w:proofErr w:type="spellEnd"/>
      <w:r w:rsidR="007A575B">
        <w:t xml:space="preserve">, </w:t>
      </w:r>
      <w:r w:rsidR="009D648F">
        <w:t xml:space="preserve">such as </w:t>
      </w:r>
      <w:r w:rsidR="007A575B">
        <w:t>longer residence times, warmer temperatures</w:t>
      </w:r>
      <w:r w:rsidR="009D648F">
        <w:t xml:space="preserve"> in surface waters</w:t>
      </w:r>
      <w:r w:rsidR="007A575B">
        <w:t xml:space="preserve">, and higher ammonium concentrations. </w:t>
      </w:r>
    </w:p>
    <w:p w14:paraId="458A0AC3" w14:textId="77777777" w:rsidR="00540CCB" w:rsidRDefault="00540CCB" w:rsidP="00540CCB">
      <w:pPr>
        <w:spacing w:after="0" w:line="240" w:lineRule="auto"/>
      </w:pPr>
    </w:p>
    <w:p w14:paraId="5BCBC011" w14:textId="26624718" w:rsidR="00540CCB" w:rsidRDefault="00540CCB" w:rsidP="00540CCB">
      <w:pPr>
        <w:spacing w:after="0" w:line="240" w:lineRule="auto"/>
      </w:pPr>
      <w:r>
        <w:t xml:space="preserve">While </w:t>
      </w:r>
      <w:proofErr w:type="gramStart"/>
      <w:r w:rsidR="00CB29F3">
        <w:t>these</w:t>
      </w:r>
      <w:r>
        <w:t xml:space="preserve"> process</w:t>
      </w:r>
      <w:proofErr w:type="gramEnd"/>
      <w:r>
        <w:t xml:space="preserve"> could be a major driver contributing to declines in diatoms</w:t>
      </w:r>
      <w:r w:rsidR="007810AD">
        <w:t xml:space="preserve"> and increases in cyanobacteria</w:t>
      </w:r>
      <w:r>
        <w:t>, these processes are complex and dynamic, and require multipronged approach</w:t>
      </w:r>
      <w:r w:rsidR="009D648F">
        <w:t>es</w:t>
      </w:r>
      <w:r>
        <w:t xml:space="preserve"> to test these hypotheses. We propose to use high-frequency flow and water quality measurements</w:t>
      </w:r>
      <w:r w:rsidR="00CB29F3">
        <w:t xml:space="preserve"> (Figure 1 and 2)</w:t>
      </w:r>
      <w:r>
        <w:t xml:space="preserve"> in combination with discrete sampling of targeted indicators, in addition to surveys of biological assemblages (plant epiphytes, zooplankton, and benthic invertebrates / bivalves</w:t>
      </w:r>
      <w:r w:rsidR="00CB29F3">
        <w:t>; Figure 3</w:t>
      </w:r>
      <w:r>
        <w:t xml:space="preserve">) to understand how aquatic </w:t>
      </w:r>
      <w:r w:rsidR="007A575B">
        <w:t>vegetation beds</w:t>
      </w:r>
      <w:r>
        <w:t xml:space="preserve"> are affecting phytoplankton communities and their grazers. We aim to answer the following questions: </w:t>
      </w:r>
    </w:p>
    <w:p w14:paraId="3294353A" w14:textId="77777777" w:rsidR="00540CCB" w:rsidRDefault="00540CCB" w:rsidP="00540CCB">
      <w:pPr>
        <w:spacing w:after="0" w:line="240" w:lineRule="auto"/>
      </w:pPr>
    </w:p>
    <w:p w14:paraId="7ACABEDE" w14:textId="77777777" w:rsidR="00540CCB" w:rsidRDefault="00540CCB" w:rsidP="00540CCB">
      <w:pPr>
        <w:pStyle w:val="ListParagraph"/>
        <w:numPr>
          <w:ilvl w:val="0"/>
          <w:numId w:val="1"/>
        </w:numPr>
        <w:spacing w:after="0" w:line="240" w:lineRule="auto"/>
        <w:ind w:left="630" w:right="2160" w:hanging="180"/>
      </w:pPr>
      <w:r>
        <w:t xml:space="preserve">How do macrophyte beds affect algal abundance in the Delta? </w:t>
      </w:r>
    </w:p>
    <w:p w14:paraId="4F0951D2" w14:textId="77777777" w:rsidR="00540CCB" w:rsidRDefault="00540CCB" w:rsidP="00540CCB">
      <w:pPr>
        <w:pStyle w:val="ListParagraph"/>
        <w:numPr>
          <w:ilvl w:val="0"/>
          <w:numId w:val="1"/>
        </w:numPr>
        <w:spacing w:after="0" w:line="240" w:lineRule="auto"/>
        <w:ind w:left="630" w:right="2160" w:hanging="180"/>
      </w:pPr>
      <w:r>
        <w:t xml:space="preserve">Do they cause shifts in algal species composition? </w:t>
      </w:r>
    </w:p>
    <w:p w14:paraId="3394B2D7" w14:textId="77777777" w:rsidR="00540CCB" w:rsidRDefault="00540CCB" w:rsidP="00540CCB">
      <w:pPr>
        <w:pStyle w:val="ListParagraph"/>
        <w:numPr>
          <w:ilvl w:val="0"/>
          <w:numId w:val="1"/>
        </w:numPr>
        <w:spacing w:after="0" w:line="240" w:lineRule="auto"/>
        <w:ind w:left="630" w:right="2160" w:hanging="180"/>
      </w:pPr>
      <w:r>
        <w:t xml:space="preserve">How do macrophytes affect fluxes of sediment, nutrients, carbon, and plankton in the outgoing tidal waters? </w:t>
      </w:r>
    </w:p>
    <w:p w14:paraId="6A9DBBDE" w14:textId="77777777" w:rsidR="00540CCB" w:rsidRDefault="00540CCB" w:rsidP="00540CCB">
      <w:pPr>
        <w:pStyle w:val="ListParagraph"/>
        <w:numPr>
          <w:ilvl w:val="0"/>
          <w:numId w:val="1"/>
        </w:numPr>
        <w:spacing w:after="0" w:line="240" w:lineRule="auto"/>
        <w:ind w:left="630" w:right="2160" w:hanging="180"/>
      </w:pPr>
      <w:r>
        <w:t xml:space="preserve">What is the role of flow and grazing in these processes? </w:t>
      </w:r>
    </w:p>
    <w:p w14:paraId="403D24B7" w14:textId="77777777" w:rsidR="00540CCB" w:rsidRDefault="00540CCB" w:rsidP="00540CCB">
      <w:pPr>
        <w:spacing w:after="0" w:line="240" w:lineRule="auto"/>
      </w:pPr>
    </w:p>
    <w:p w14:paraId="04B65DFF" w14:textId="77777777" w:rsidR="00540CCB" w:rsidRDefault="00540CCB" w:rsidP="00540CCB">
      <w:pPr>
        <w:spacing w:after="0" w:line="240" w:lineRule="auto"/>
      </w:pPr>
      <w:r>
        <w:t xml:space="preserve">The data collected herein will permit both qualitative assessment of particles entering and entering aquatic vegetation (e.g. diatoms vs. cyanobacteria, mineral vs. organic, small versus large particles), </w:t>
      </w:r>
      <w:r>
        <w:lastRenderedPageBreak/>
        <w:t>along with quantitative flux estimates of chlorophyll, algal biomass, inorganic particles, carbon, and nutrients entering, exiting and retained in macrophyte beds (Figure 1). The data collected may also be used in models for estimating primary productivity in the Delta.</w:t>
      </w:r>
    </w:p>
    <w:p w14:paraId="6340A71F" w14:textId="77777777" w:rsidR="00540CCB" w:rsidRDefault="00540CCB" w:rsidP="00540CCB">
      <w:pPr>
        <w:spacing w:after="0" w:line="240" w:lineRule="auto"/>
      </w:pPr>
    </w:p>
    <w:p w14:paraId="4F7E6923" w14:textId="77777777" w:rsidR="00540CCB" w:rsidRPr="00540CCB" w:rsidRDefault="00540CCB" w:rsidP="00540CCB">
      <w:pPr>
        <w:spacing w:after="0" w:line="240" w:lineRule="auto"/>
        <w:rPr>
          <w:i/>
          <w:color w:val="4472C4" w:themeColor="accent1"/>
        </w:rPr>
      </w:pPr>
      <w:r w:rsidRPr="00540CCB">
        <w:rPr>
          <w:i/>
          <w:color w:val="4472C4" w:themeColor="accent1"/>
        </w:rPr>
        <w:t>4. Participating scientists and technical staff (name, affiliation, percent time)</w:t>
      </w:r>
    </w:p>
    <w:p w14:paraId="3F9442B9" w14:textId="77777777" w:rsidR="00540CCB" w:rsidRDefault="00540CCB" w:rsidP="00540CCB">
      <w:pPr>
        <w:spacing w:after="0" w:line="240" w:lineRule="auto"/>
      </w:pPr>
      <w:r>
        <w:t>Tamara Kraus, USGS California WSC, 15% time, 2 years</w:t>
      </w:r>
    </w:p>
    <w:p w14:paraId="35D09956" w14:textId="33931C63" w:rsidR="00540CCB" w:rsidRDefault="00540CCB" w:rsidP="00540CCB">
      <w:pPr>
        <w:spacing w:after="0" w:line="240" w:lineRule="auto"/>
      </w:pPr>
      <w:r>
        <w:t>Kurt Carpenter, USGS Oregon WSC, 1</w:t>
      </w:r>
      <w:r w:rsidR="00A10CD3">
        <w:t>0</w:t>
      </w:r>
      <w:r>
        <w:t>% time, 2 years</w:t>
      </w:r>
    </w:p>
    <w:p w14:paraId="1E9741D3" w14:textId="77777777" w:rsidR="00540CCB" w:rsidRDefault="00540CCB" w:rsidP="00540CCB">
      <w:pPr>
        <w:spacing w:after="0" w:line="240" w:lineRule="auto"/>
      </w:pPr>
      <w:r>
        <w:t>Bryan Downing, USGS California WSC, 5% time, 2 years</w:t>
      </w:r>
    </w:p>
    <w:p w14:paraId="2BC4FD5E" w14:textId="77777777" w:rsidR="00540CCB" w:rsidRDefault="00540CCB" w:rsidP="00540CCB">
      <w:pPr>
        <w:spacing w:after="0" w:line="240" w:lineRule="auto"/>
      </w:pPr>
      <w:r>
        <w:t>Brian Bergamaschi, USGS CAWSC, 5% time, 2 years</w:t>
      </w:r>
    </w:p>
    <w:p w14:paraId="3F38BE17" w14:textId="4DAE14AA" w:rsidR="00540CCB" w:rsidRDefault="00A10CD3" w:rsidP="00540CCB">
      <w:pPr>
        <w:spacing w:after="0" w:line="240" w:lineRule="auto"/>
      </w:pPr>
      <w:r>
        <w:t xml:space="preserve">Several </w:t>
      </w:r>
      <w:r w:rsidR="00540CCB">
        <w:t>Technical support staff ~5% for 2 years</w:t>
      </w:r>
    </w:p>
    <w:p w14:paraId="51C021D7" w14:textId="77777777" w:rsidR="00A831CB" w:rsidRDefault="00A831CB" w:rsidP="00540CCB">
      <w:pPr>
        <w:spacing w:after="0" w:line="240" w:lineRule="auto"/>
      </w:pPr>
    </w:p>
    <w:p w14:paraId="7EE14202" w14:textId="340CEC43" w:rsidR="00540CCB" w:rsidRDefault="00540CCB" w:rsidP="00540CCB">
      <w:pPr>
        <w:spacing w:after="0" w:line="240" w:lineRule="auto"/>
      </w:pPr>
      <w:r>
        <w:t xml:space="preserve">Note: we welcome collaborations with others on this study and will look for ways to leverage this work with ongoing efforts.  </w:t>
      </w:r>
      <w:r w:rsidR="00A831CB">
        <w:t>For example, a study componen</w:t>
      </w:r>
      <w:r w:rsidR="00CB29F3">
        <w:t xml:space="preserve">t that includes zooplankton </w:t>
      </w:r>
      <w:r w:rsidR="00A831CB">
        <w:t xml:space="preserve">sampling could be added on to this work. </w:t>
      </w:r>
    </w:p>
    <w:p w14:paraId="22AE35C6" w14:textId="77777777" w:rsidR="00540CCB" w:rsidRDefault="00540CCB" w:rsidP="00540CCB">
      <w:pPr>
        <w:spacing w:after="0" w:line="240" w:lineRule="auto"/>
      </w:pPr>
    </w:p>
    <w:p w14:paraId="1051A7E7" w14:textId="77777777" w:rsidR="00540CCB" w:rsidRPr="00540CCB" w:rsidRDefault="00540CCB" w:rsidP="00540CCB">
      <w:pPr>
        <w:spacing w:after="0" w:line="240" w:lineRule="auto"/>
        <w:rPr>
          <w:i/>
          <w:color w:val="4472C4" w:themeColor="accent1"/>
        </w:rPr>
      </w:pPr>
      <w:r w:rsidRPr="00540CCB">
        <w:rPr>
          <w:i/>
          <w:color w:val="4472C4" w:themeColor="accent1"/>
        </w:rPr>
        <w:t>5. Rough fully burdened budget:</w:t>
      </w:r>
    </w:p>
    <w:p w14:paraId="27A2FA86" w14:textId="15F04FD2" w:rsidR="00540CCB" w:rsidRDefault="00540CCB" w:rsidP="00540CCB">
      <w:pPr>
        <w:spacing w:after="0" w:line="240" w:lineRule="auto"/>
      </w:pPr>
      <w:r>
        <w:t>$</w:t>
      </w:r>
      <w:r w:rsidR="009D3C84">
        <w:t>200</w:t>
      </w:r>
      <w:r>
        <w:t xml:space="preserve">,000 </w:t>
      </w:r>
      <w:r w:rsidR="00810C7A">
        <w:t>year 1; $1</w:t>
      </w:r>
      <w:r w:rsidR="00554FA4">
        <w:t>5</w:t>
      </w:r>
      <w:r w:rsidR="00810C7A">
        <w:t>0,000 year 2; $50,000 year 3 = $</w:t>
      </w:r>
      <w:r w:rsidR="009D3C84">
        <w:t>40</w:t>
      </w:r>
      <w:r w:rsidR="00554FA4">
        <w:t>0</w:t>
      </w:r>
      <w:r w:rsidR="00810C7A">
        <w:t>,000 total</w:t>
      </w:r>
    </w:p>
    <w:p w14:paraId="053942BA" w14:textId="08457D1E" w:rsidR="00087FDE" w:rsidRDefault="00087FDE" w:rsidP="00540CCB">
      <w:pPr>
        <w:spacing w:after="0" w:line="240" w:lineRule="auto"/>
      </w:pPr>
      <w:r>
        <w:t>NOTE: Project can be scaled to be smaller</w:t>
      </w:r>
      <w:r w:rsidR="000B7050">
        <w:t xml:space="preserve"> (less sites, shorter time)</w:t>
      </w:r>
      <w:r>
        <w:t xml:space="preserve"> or larger</w:t>
      </w:r>
      <w:r w:rsidR="000B7050">
        <w:t xml:space="preserve"> (more sites, longer time</w:t>
      </w:r>
      <w:r>
        <w:t>)</w:t>
      </w:r>
    </w:p>
    <w:p w14:paraId="72F4DB80" w14:textId="77777777" w:rsidR="000B7050" w:rsidRDefault="000B7050" w:rsidP="00540CCB">
      <w:pPr>
        <w:spacing w:after="0" w:line="240" w:lineRule="auto"/>
      </w:pPr>
    </w:p>
    <w:p w14:paraId="3271A399" w14:textId="4D9F4A5E" w:rsidR="00540CCB" w:rsidRDefault="00540CCB" w:rsidP="00540CCB">
      <w:pPr>
        <w:spacing w:after="0" w:line="240" w:lineRule="auto"/>
      </w:pPr>
      <w:r>
        <w:t xml:space="preserve">Potential funding to augment this work could be obtained from the Delta Science Program (DSP) and the Department of Water Resources (DWR) who have identified invasive aquatic vegetation and declines in fish habitat and food resources as a major concern in the Delta. </w:t>
      </w:r>
    </w:p>
    <w:p w14:paraId="4C9DF1E8" w14:textId="77777777" w:rsidR="00540CCB" w:rsidRDefault="00540CCB" w:rsidP="00540CCB">
      <w:pPr>
        <w:spacing w:after="0" w:line="240" w:lineRule="auto"/>
      </w:pPr>
    </w:p>
    <w:p w14:paraId="62563C80" w14:textId="77777777" w:rsidR="00540CCB" w:rsidRPr="00540CCB" w:rsidRDefault="00540CCB" w:rsidP="00540CCB">
      <w:pPr>
        <w:spacing w:after="0" w:line="240" w:lineRule="auto"/>
        <w:rPr>
          <w:i/>
          <w:color w:val="4472C4" w:themeColor="accent1"/>
        </w:rPr>
      </w:pPr>
      <w:r w:rsidRPr="00540CCB">
        <w:rPr>
          <w:i/>
          <w:color w:val="4472C4" w:themeColor="accent1"/>
        </w:rPr>
        <w:t>6. Primary Contact</w:t>
      </w:r>
    </w:p>
    <w:p w14:paraId="215BF7EF" w14:textId="77777777" w:rsidR="00540CCB" w:rsidRDefault="00540CCB" w:rsidP="00540CCB">
      <w:pPr>
        <w:spacing w:after="0" w:line="240" w:lineRule="auto"/>
      </w:pPr>
      <w:r>
        <w:t>Tamara Kraus, tkraus@usgs.gov, 916-278-3260</w:t>
      </w:r>
    </w:p>
    <w:p w14:paraId="604341D9" w14:textId="77777777" w:rsidR="008C6E1B" w:rsidRDefault="008C6E1B" w:rsidP="00540CCB">
      <w:pPr>
        <w:spacing w:after="0" w:line="240" w:lineRule="auto"/>
      </w:pPr>
    </w:p>
    <w:p w14:paraId="489B76C0" w14:textId="77777777" w:rsidR="006F2664" w:rsidRDefault="006F2664" w:rsidP="00540CCB">
      <w:pPr>
        <w:spacing w:after="0" w:line="240" w:lineRule="auto"/>
        <w:rPr>
          <w:highlight w:val="yellow"/>
        </w:rPr>
      </w:pPr>
      <w:bookmarkStart w:id="0" w:name="_GoBack"/>
      <w:bookmarkEnd w:id="0"/>
    </w:p>
    <w:p w14:paraId="78AAFFCB" w14:textId="4117D7A5" w:rsidR="006F2664" w:rsidRDefault="007A575B" w:rsidP="007A575B">
      <w:pPr>
        <w:spacing w:after="0" w:line="240" w:lineRule="auto"/>
        <w:jc w:val="center"/>
        <w:rPr>
          <w:highlight w:val="yellow"/>
        </w:rPr>
      </w:pPr>
      <w:r>
        <w:rPr>
          <w:noProof/>
          <w:highlight w:val="yellow"/>
        </w:rPr>
        <w:drawing>
          <wp:inline distT="0" distB="0" distL="0" distR="0" wp14:anchorId="659FD477" wp14:editId="2CC0B662">
            <wp:extent cx="5213350" cy="238359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801"/>
                    <a:stretch/>
                  </pic:blipFill>
                  <pic:spPr bwMode="auto">
                    <a:xfrm>
                      <a:off x="0" y="0"/>
                      <a:ext cx="5222989" cy="2388006"/>
                    </a:xfrm>
                    <a:prstGeom prst="rect">
                      <a:avLst/>
                    </a:prstGeom>
                    <a:noFill/>
                    <a:ln>
                      <a:noFill/>
                    </a:ln>
                    <a:extLst>
                      <a:ext uri="{53640926-AAD7-44D8-BBD7-CCE9431645EC}">
                        <a14:shadowObscured xmlns:a14="http://schemas.microsoft.com/office/drawing/2010/main"/>
                      </a:ext>
                    </a:extLst>
                  </pic:spPr>
                </pic:pic>
              </a:graphicData>
            </a:graphic>
          </wp:inline>
        </w:drawing>
      </w:r>
    </w:p>
    <w:p w14:paraId="26AF50DC" w14:textId="77777777" w:rsidR="006F2664" w:rsidRPr="00FF0BA4" w:rsidRDefault="006F2664" w:rsidP="00FF0BA4">
      <w:pPr>
        <w:spacing w:after="0" w:line="240" w:lineRule="auto"/>
        <w:ind w:left="720"/>
        <w:rPr>
          <w:sz w:val="20"/>
          <w:szCs w:val="20"/>
          <w:highlight w:val="yellow"/>
        </w:rPr>
      </w:pPr>
    </w:p>
    <w:p w14:paraId="6F2F9241" w14:textId="4EFCACD0" w:rsidR="008A0581" w:rsidRPr="00FF0BA4" w:rsidRDefault="00FF0BA4" w:rsidP="00FF0BA4">
      <w:pPr>
        <w:spacing w:after="0" w:line="240" w:lineRule="auto"/>
        <w:ind w:left="720"/>
        <w:rPr>
          <w:sz w:val="20"/>
          <w:szCs w:val="20"/>
        </w:rPr>
      </w:pPr>
      <w:r w:rsidRPr="00FF0BA4">
        <w:rPr>
          <w:b/>
          <w:sz w:val="20"/>
          <w:szCs w:val="20"/>
        </w:rPr>
        <w:t>Figure 1.</w:t>
      </w:r>
      <w:r w:rsidR="008A0581" w:rsidRPr="00FF0BA4">
        <w:rPr>
          <w:sz w:val="20"/>
          <w:szCs w:val="20"/>
        </w:rPr>
        <w:t xml:space="preserve"> </w:t>
      </w:r>
      <w:r w:rsidR="007A575B" w:rsidRPr="00FF0BA4">
        <w:rPr>
          <w:sz w:val="20"/>
          <w:szCs w:val="20"/>
        </w:rPr>
        <w:t xml:space="preserve">Cartoon of an instrument package that can be deployed to collect in situ, high frequency data related to dissolved and particulate material in the water column.  Data collected over several weeks in tidal systems can capture changes in water quality associated with water entering versus exiting aquatic vegetation beds.  Collection of discrete water samples provides additional information </w:t>
      </w:r>
      <w:r w:rsidRPr="00FF0BA4">
        <w:rPr>
          <w:sz w:val="20"/>
          <w:szCs w:val="20"/>
        </w:rPr>
        <w:t>(</w:t>
      </w:r>
      <w:r>
        <w:rPr>
          <w:sz w:val="20"/>
          <w:szCs w:val="20"/>
        </w:rPr>
        <w:t>e.g.,</w:t>
      </w:r>
      <w:r w:rsidRPr="00FF0BA4">
        <w:rPr>
          <w:sz w:val="20"/>
          <w:szCs w:val="20"/>
        </w:rPr>
        <w:t xml:space="preserve"> phytoplankton enumeration, total dissolved nitrogen, particulate C and N content) </w:t>
      </w:r>
      <w:r w:rsidR="007A575B" w:rsidRPr="00FF0BA4">
        <w:rPr>
          <w:sz w:val="20"/>
          <w:szCs w:val="20"/>
        </w:rPr>
        <w:t xml:space="preserve">and is used to validate these measurements </w:t>
      </w:r>
    </w:p>
    <w:p w14:paraId="0F0ABDEE" w14:textId="77777777" w:rsidR="008A0581" w:rsidRDefault="008A0581" w:rsidP="00540CCB">
      <w:pPr>
        <w:spacing w:after="0" w:line="240" w:lineRule="auto"/>
      </w:pPr>
    </w:p>
    <w:p w14:paraId="2A24FFBF" w14:textId="77777777" w:rsidR="008A0581" w:rsidRDefault="008A0581" w:rsidP="00540CCB">
      <w:pPr>
        <w:spacing w:after="0" w:line="240" w:lineRule="auto"/>
      </w:pPr>
    </w:p>
    <w:p w14:paraId="68740346" w14:textId="1EB1D1F2" w:rsidR="00810C7A" w:rsidRDefault="00810C7A" w:rsidP="00FF0BA4">
      <w:pPr>
        <w:spacing w:after="0" w:line="240" w:lineRule="auto"/>
      </w:pPr>
      <w:r>
        <w:rPr>
          <w:noProof/>
        </w:rPr>
        <w:drawing>
          <wp:inline distT="0" distB="0" distL="0" distR="0" wp14:anchorId="51913979" wp14:editId="155A68F9">
            <wp:extent cx="2075447" cy="1782386"/>
            <wp:effectExtent l="0" t="0" r="1270" b="8890"/>
            <wp:docPr id="2" name="Picture 2" descr="C:\Users\tkraus\AppData\Local\Microsoft\Windows\INetCache\Content.Word\IMG_0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raus\AppData\Local\Microsoft\Windows\INetCache\Content.Word\IMG_075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06"/>
                    <a:stretch/>
                  </pic:blipFill>
                  <pic:spPr bwMode="auto">
                    <a:xfrm>
                      <a:off x="0" y="0"/>
                      <a:ext cx="2080145" cy="1786421"/>
                    </a:xfrm>
                    <a:prstGeom prst="rect">
                      <a:avLst/>
                    </a:prstGeom>
                    <a:noFill/>
                    <a:ln>
                      <a:noFill/>
                    </a:ln>
                    <a:extLst>
                      <a:ext uri="{53640926-AAD7-44D8-BBD7-CCE9431645EC}">
                        <a14:shadowObscured xmlns:a14="http://schemas.microsoft.com/office/drawing/2010/main"/>
                      </a:ext>
                    </a:extLst>
                  </pic:spPr>
                </pic:pic>
              </a:graphicData>
            </a:graphic>
          </wp:inline>
        </w:drawing>
      </w:r>
      <w:r w:rsidR="00FF0BA4">
        <w:t xml:space="preserve"> </w:t>
      </w:r>
      <w:r>
        <w:rPr>
          <w:noProof/>
        </w:rPr>
        <w:drawing>
          <wp:inline distT="0" distB="0" distL="0" distR="0" wp14:anchorId="67EA07AD" wp14:editId="78A887C7">
            <wp:extent cx="2125834" cy="1792605"/>
            <wp:effectExtent l="0" t="0" r="8255" b="0"/>
            <wp:docPr id="3" name="Picture 3" descr="C:\Users\tkraus\AppData\Local\Microsoft\Windows\INetCache\Content.Word\IMG_0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kraus\AppData\Local\Microsoft\Windows\INetCache\Content.Word\IMG_0878.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 r="11096"/>
                    <a:stretch/>
                  </pic:blipFill>
                  <pic:spPr bwMode="auto">
                    <a:xfrm>
                      <a:off x="0" y="0"/>
                      <a:ext cx="2126229" cy="1792938"/>
                    </a:xfrm>
                    <a:prstGeom prst="rect">
                      <a:avLst/>
                    </a:prstGeom>
                    <a:noFill/>
                    <a:ln>
                      <a:noFill/>
                    </a:ln>
                    <a:extLst>
                      <a:ext uri="{53640926-AAD7-44D8-BBD7-CCE9431645EC}">
                        <a14:shadowObscured xmlns:a14="http://schemas.microsoft.com/office/drawing/2010/main"/>
                      </a:ext>
                    </a:extLst>
                  </pic:spPr>
                </pic:pic>
              </a:graphicData>
            </a:graphic>
          </wp:inline>
        </w:drawing>
      </w:r>
      <w:r w:rsidR="00FF0BA4">
        <w:t xml:space="preserve"> </w:t>
      </w:r>
      <w:r w:rsidR="00FF0BA4">
        <w:rPr>
          <w:noProof/>
        </w:rPr>
        <w:drawing>
          <wp:inline distT="0" distB="0" distL="0" distR="0" wp14:anchorId="0BD7438E" wp14:editId="79E7EB74">
            <wp:extent cx="1776908" cy="1404789"/>
            <wp:effectExtent l="0" t="4445" r="0" b="0"/>
            <wp:docPr id="13" name="Picture 13" descr="C:\Users\tkraus\AppData\Local\Microsoft\Windows\INetCache\Content.Word\IMG_0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kraus\AppData\Local\Microsoft\Windows\INetCache\Content.Word\IMG_079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34" r="8642" b="7373"/>
                    <a:stretch/>
                  </pic:blipFill>
                  <pic:spPr bwMode="auto">
                    <a:xfrm rot="5400000">
                      <a:off x="0" y="0"/>
                      <a:ext cx="1788896" cy="1414266"/>
                    </a:xfrm>
                    <a:prstGeom prst="rect">
                      <a:avLst/>
                    </a:prstGeom>
                    <a:noFill/>
                    <a:ln>
                      <a:noFill/>
                    </a:ln>
                    <a:extLst>
                      <a:ext uri="{53640926-AAD7-44D8-BBD7-CCE9431645EC}">
                        <a14:shadowObscured xmlns:a14="http://schemas.microsoft.com/office/drawing/2010/main"/>
                      </a:ext>
                    </a:extLst>
                  </pic:spPr>
                </pic:pic>
              </a:graphicData>
            </a:graphic>
          </wp:inline>
        </w:drawing>
      </w:r>
    </w:p>
    <w:p w14:paraId="45AE79CF" w14:textId="7ABD37D4" w:rsidR="00810C7A" w:rsidRPr="00FF0BA4" w:rsidRDefault="00810C7A" w:rsidP="00FF0BA4">
      <w:pPr>
        <w:spacing w:after="0" w:line="240" w:lineRule="auto"/>
        <w:rPr>
          <w:sz w:val="20"/>
          <w:szCs w:val="20"/>
        </w:rPr>
      </w:pPr>
      <w:r w:rsidRPr="00FF0BA4">
        <w:rPr>
          <w:b/>
          <w:sz w:val="20"/>
          <w:szCs w:val="20"/>
        </w:rPr>
        <w:t xml:space="preserve">Figure </w:t>
      </w:r>
      <w:r w:rsidR="006F2664" w:rsidRPr="00FF0BA4">
        <w:rPr>
          <w:b/>
          <w:sz w:val="20"/>
          <w:szCs w:val="20"/>
        </w:rPr>
        <w:t>2</w:t>
      </w:r>
      <w:r w:rsidR="00D74606">
        <w:rPr>
          <w:b/>
          <w:sz w:val="20"/>
          <w:szCs w:val="20"/>
        </w:rPr>
        <w:t xml:space="preserve">. </w:t>
      </w:r>
      <w:r w:rsidR="006F2664" w:rsidRPr="00FF0BA4">
        <w:rPr>
          <w:sz w:val="20"/>
          <w:szCs w:val="20"/>
        </w:rPr>
        <w:t>I</w:t>
      </w:r>
      <w:r w:rsidR="00FF0BA4" w:rsidRPr="00FF0BA4">
        <w:rPr>
          <w:sz w:val="20"/>
          <w:szCs w:val="20"/>
        </w:rPr>
        <w:t>n</w:t>
      </w:r>
      <w:r w:rsidR="006F2664" w:rsidRPr="00FF0BA4">
        <w:rPr>
          <w:sz w:val="20"/>
          <w:szCs w:val="20"/>
        </w:rPr>
        <w:t xml:space="preserve"> addition to deploying instruments at a fixed location, t</w:t>
      </w:r>
      <w:r w:rsidRPr="00FF0BA4">
        <w:rPr>
          <w:sz w:val="20"/>
          <w:szCs w:val="20"/>
        </w:rPr>
        <w:t>he USGS CAWSC Biogeochemistry group has</w:t>
      </w:r>
      <w:r w:rsidR="006F2664" w:rsidRPr="00FF0BA4">
        <w:rPr>
          <w:sz w:val="20"/>
          <w:szCs w:val="20"/>
        </w:rPr>
        <w:t xml:space="preserve"> re</w:t>
      </w:r>
      <w:r w:rsidR="00FF0BA4" w:rsidRPr="00FF0BA4">
        <w:rPr>
          <w:sz w:val="20"/>
          <w:szCs w:val="20"/>
        </w:rPr>
        <w:t>c</w:t>
      </w:r>
      <w:r w:rsidR="006F2664" w:rsidRPr="00FF0BA4">
        <w:rPr>
          <w:sz w:val="20"/>
          <w:szCs w:val="20"/>
        </w:rPr>
        <w:t>ently</w:t>
      </w:r>
      <w:r w:rsidRPr="00FF0BA4">
        <w:rPr>
          <w:sz w:val="20"/>
          <w:szCs w:val="20"/>
        </w:rPr>
        <w:t xml:space="preserve"> </w:t>
      </w:r>
      <w:r w:rsidR="00FF0BA4">
        <w:rPr>
          <w:sz w:val="20"/>
          <w:szCs w:val="20"/>
        </w:rPr>
        <w:t>modified their</w:t>
      </w:r>
      <w:r w:rsidRPr="00FF0BA4">
        <w:rPr>
          <w:sz w:val="20"/>
          <w:szCs w:val="20"/>
        </w:rPr>
        <w:t xml:space="preserve"> </w:t>
      </w:r>
      <w:r w:rsidR="00FF0BA4">
        <w:rPr>
          <w:sz w:val="20"/>
          <w:szCs w:val="20"/>
        </w:rPr>
        <w:t xml:space="preserve">boat-based mapping system </w:t>
      </w:r>
      <w:r w:rsidRPr="00FF0BA4">
        <w:rPr>
          <w:sz w:val="20"/>
          <w:szCs w:val="20"/>
        </w:rPr>
        <w:t xml:space="preserve">to collect in situ water quality data and discrete samples at various depths </w:t>
      </w:r>
      <w:r w:rsidR="00FF0BA4" w:rsidRPr="00FF0BA4">
        <w:rPr>
          <w:sz w:val="20"/>
          <w:szCs w:val="20"/>
        </w:rPr>
        <w:t xml:space="preserve">in beds of </w:t>
      </w:r>
      <w:r w:rsidRPr="00FF0BA4">
        <w:rPr>
          <w:sz w:val="20"/>
          <w:szCs w:val="20"/>
        </w:rPr>
        <w:t>dense aquatic vegetation whi</w:t>
      </w:r>
      <w:r w:rsidR="00FF0BA4">
        <w:rPr>
          <w:sz w:val="20"/>
          <w:szCs w:val="20"/>
        </w:rPr>
        <w:t>le causing minimal disturbance. A high resolution CTD (conductivity, temperature, depth</w:t>
      </w:r>
      <w:r w:rsidR="00A831CB">
        <w:rPr>
          <w:sz w:val="20"/>
          <w:szCs w:val="20"/>
        </w:rPr>
        <w:t>; sampling frequency 16/sec</w:t>
      </w:r>
      <w:r w:rsidR="00FF0BA4">
        <w:rPr>
          <w:sz w:val="20"/>
          <w:szCs w:val="20"/>
        </w:rPr>
        <w:t>) sensor pumps water back to instruments on board that can measure parameters shown in Figure 1</w:t>
      </w:r>
      <w:r w:rsidR="00A831CB">
        <w:rPr>
          <w:sz w:val="20"/>
          <w:szCs w:val="20"/>
        </w:rPr>
        <w:t xml:space="preserve"> (sampling frequency 1/sec)</w:t>
      </w:r>
      <w:r w:rsidR="00FF0BA4">
        <w:rPr>
          <w:sz w:val="20"/>
          <w:szCs w:val="20"/>
        </w:rPr>
        <w:t>, which can be viewed in real time on the boat to inform sample collection.</w:t>
      </w:r>
    </w:p>
    <w:p w14:paraId="5183CAD2" w14:textId="77777777" w:rsidR="008A0581" w:rsidRDefault="008A0581" w:rsidP="00540CCB">
      <w:pPr>
        <w:spacing w:after="0" w:line="240" w:lineRule="auto"/>
      </w:pPr>
    </w:p>
    <w:p w14:paraId="4808C536" w14:textId="77777777" w:rsidR="008A0581" w:rsidRDefault="008A0581" w:rsidP="00540CCB">
      <w:pPr>
        <w:spacing w:after="0" w:line="240" w:lineRule="auto"/>
      </w:pPr>
    </w:p>
    <w:p w14:paraId="13828A2D" w14:textId="77777777" w:rsidR="008A0581" w:rsidRDefault="008A0581" w:rsidP="00540CCB">
      <w:pPr>
        <w:spacing w:after="0" w:line="240" w:lineRule="auto"/>
      </w:pPr>
    </w:p>
    <w:p w14:paraId="11FBA6DC" w14:textId="10FDB790" w:rsidR="008A0581" w:rsidRDefault="008A0581" w:rsidP="00CB29F3">
      <w:pPr>
        <w:spacing w:after="0" w:line="240" w:lineRule="auto"/>
        <w:ind w:right="-450"/>
      </w:pPr>
      <w:r>
        <w:rPr>
          <w:noProof/>
        </w:rPr>
        <w:drawing>
          <wp:inline distT="0" distB="0" distL="0" distR="0" wp14:anchorId="018A65B3" wp14:editId="2D0E8D0C">
            <wp:extent cx="1105285" cy="485972"/>
            <wp:effectExtent l="4762" t="0" r="4763" b="4762"/>
            <wp:docPr id="5" name="Picture 5" descr="C:\Users\tkraus\AppData\Local\Microsoft\Windows\INetCache\Content.Word\Aulacoseira_Shag Slough - Bridge to Nowhere I_10 00 sample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kraus\AppData\Local\Microsoft\Windows\INetCache\Content.Word\Aulacoseira_Shag Slough - Bridge to Nowhere I_10 00 sample_Sept 2017.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82" t="6399" r="26565" b="52164"/>
                    <a:stretch/>
                  </pic:blipFill>
                  <pic:spPr bwMode="auto">
                    <a:xfrm rot="5400000">
                      <a:off x="0" y="0"/>
                      <a:ext cx="1105285" cy="48597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349A529" wp14:editId="14B9A40E">
            <wp:extent cx="925229" cy="1097280"/>
            <wp:effectExtent l="0" t="0" r="8255" b="7620"/>
            <wp:docPr id="6" name="Picture 6" descr="C:\Users\tkraus\AppData\Local\Microsoft\Windows\INetCache\Content.Word\Oedogonium with scars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kraus\AppData\Local\Microsoft\Windows\INetCache\Content.Word\Oedogonium with scars_Sept 2017.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36787"/>
                    <a:stretch/>
                  </pic:blipFill>
                  <pic:spPr bwMode="auto">
                    <a:xfrm flipH="1">
                      <a:off x="0" y="0"/>
                      <a:ext cx="944636" cy="112029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E8C4292" wp14:editId="31F10A9B">
            <wp:extent cx="900752" cy="1109345"/>
            <wp:effectExtent l="0" t="0" r="0" b="0"/>
            <wp:docPr id="7" name="Picture 7" descr="C:\Users\tkraus\AppData\Local\Microsoft\Windows\INetCache\Content.Word\Microcystis3_Decker Wetland_1145 sample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kraus\AppData\Local\Microsoft\Windows\INetCache\Content.Word\Microcystis3_Decker Wetland_1145 sample_Sept 2017.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39128"/>
                    <a:stretch/>
                  </pic:blipFill>
                  <pic:spPr bwMode="auto">
                    <a:xfrm>
                      <a:off x="0" y="0"/>
                      <a:ext cx="917211" cy="112961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DCCF7B" wp14:editId="7D108509">
            <wp:extent cx="1091777" cy="644169"/>
            <wp:effectExtent l="0" t="4762" r="8572" b="8573"/>
            <wp:docPr id="10" name="Picture 10" descr="C:\Users\tkraus\AppData\Local\Microsoft\Windows\INetCache\Content.Word\Ulnaria_Cache Slough at confluence 830 sample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kraus\AppData\Local\Microsoft\Windows\INetCache\Content.Word\Ulnaria_Cache Slough at confluence 830 sample_Sept 2017.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00" t="17131" r="3563" b="19012"/>
                    <a:stretch/>
                  </pic:blipFill>
                  <pic:spPr bwMode="auto">
                    <a:xfrm rot="5400000">
                      <a:off x="0" y="0"/>
                      <a:ext cx="1141183" cy="6733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DCCA4EC" wp14:editId="2EDFFF46">
            <wp:extent cx="1087497" cy="876771"/>
            <wp:effectExtent l="0" t="8890" r="8890" b="8890"/>
            <wp:docPr id="8" name="Picture 8" descr="C:\Users\tkraus\AppData\Local\Microsoft\Windows\INetCache\Content.Word\Oscillatoria_840 sample_Liberty Is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kraus\AppData\Local\Microsoft\Windows\INetCache\Content.Word\Oscillatoria_840 sample_Liberty Is_Sept 2017.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014"/>
                    <a:stretch/>
                  </pic:blipFill>
                  <pic:spPr bwMode="auto">
                    <a:xfrm rot="5400000">
                      <a:off x="0" y="0"/>
                      <a:ext cx="1121502" cy="90418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250FEEA" wp14:editId="20A67A9C">
            <wp:extent cx="832095" cy="1085215"/>
            <wp:effectExtent l="0" t="0" r="6350" b="635"/>
            <wp:docPr id="9" name="Picture 9" descr="C:\Users\tkraus\AppData\Local\Microsoft\Windows\INetCache\Content.Word\Pediastrum_LCT II_1100 sample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kraus\AppData\Local\Microsoft\Windows\INetCache\Content.Word\Pediastrum_LCT II_1100 sample_Sept 2017.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3851" t="21721" r="39297" b="14167"/>
                    <a:stretch/>
                  </pic:blipFill>
                  <pic:spPr bwMode="auto">
                    <a:xfrm>
                      <a:off x="0" y="0"/>
                      <a:ext cx="872391" cy="1137769"/>
                    </a:xfrm>
                    <a:prstGeom prst="rect">
                      <a:avLst/>
                    </a:prstGeom>
                    <a:noFill/>
                    <a:ln>
                      <a:noFill/>
                    </a:ln>
                    <a:extLst>
                      <a:ext uri="{53640926-AAD7-44D8-BBD7-CCE9431645EC}">
                        <a14:shadowObscured xmlns:a14="http://schemas.microsoft.com/office/drawing/2010/main"/>
                      </a:ext>
                    </a:extLst>
                  </pic:spPr>
                </pic:pic>
              </a:graphicData>
            </a:graphic>
          </wp:inline>
        </w:drawing>
      </w:r>
      <w:r w:rsidR="00CB29F3">
        <w:t xml:space="preserve"> </w:t>
      </w:r>
      <w:r w:rsidR="00CB29F3">
        <w:rPr>
          <w:noProof/>
        </w:rPr>
        <w:drawing>
          <wp:inline distT="0" distB="0" distL="0" distR="0" wp14:anchorId="633745EF" wp14:editId="5A82D7D6">
            <wp:extent cx="1092166" cy="819124"/>
            <wp:effectExtent l="3175" t="0" r="0" b="0"/>
            <wp:docPr id="4" name="Picture 4" descr="C:\Users\tkraus\AppData\Local\Microsoft\Windows\INetCache\Content.Word\Amphipod_Parrotfeather sample_Sept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kraus\AppData\Local\Microsoft\Windows\INetCache\Content.Word\Amphipod_Parrotfeather sample_Sept 2017.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5400000">
                      <a:off x="0" y="0"/>
                      <a:ext cx="1114676" cy="836007"/>
                    </a:xfrm>
                    <a:prstGeom prst="rect">
                      <a:avLst/>
                    </a:prstGeom>
                    <a:noFill/>
                    <a:ln>
                      <a:noFill/>
                    </a:ln>
                  </pic:spPr>
                </pic:pic>
              </a:graphicData>
            </a:graphic>
          </wp:inline>
        </w:drawing>
      </w:r>
    </w:p>
    <w:p w14:paraId="7E3CF679" w14:textId="77777777" w:rsidR="008A0581" w:rsidRDefault="008A0581" w:rsidP="00540CCB">
      <w:pPr>
        <w:spacing w:after="0" w:line="240" w:lineRule="auto"/>
      </w:pPr>
    </w:p>
    <w:p w14:paraId="3C348A4D" w14:textId="2E77B8ED" w:rsidR="008A0581" w:rsidRPr="00A831CB" w:rsidRDefault="008A0581" w:rsidP="00540CCB">
      <w:pPr>
        <w:spacing w:after="0" w:line="240" w:lineRule="auto"/>
      </w:pPr>
      <w:r w:rsidRPr="00D74606">
        <w:rPr>
          <w:b/>
        </w:rPr>
        <w:t>Figure 3.</w:t>
      </w:r>
      <w:r>
        <w:t xml:space="preserve"> Preliminary sampling within and near invasive aquatic vegetation shows a diversity of algal speci</w:t>
      </w:r>
      <w:r w:rsidR="006F2664">
        <w:t>e</w:t>
      </w:r>
      <w:r>
        <w:t xml:space="preserve">s </w:t>
      </w:r>
      <w:r w:rsidR="00CB29F3">
        <w:t xml:space="preserve">and zooplankton </w:t>
      </w:r>
      <w:r>
        <w:t xml:space="preserve">are present. Left to Right: </w:t>
      </w:r>
      <w:proofErr w:type="spellStart"/>
      <w:r w:rsidRPr="006F2664">
        <w:rPr>
          <w:i/>
        </w:rPr>
        <w:t>Aulacoseira</w:t>
      </w:r>
      <w:proofErr w:type="spellEnd"/>
      <w:r w:rsidRPr="006F2664">
        <w:rPr>
          <w:i/>
        </w:rPr>
        <w:t xml:space="preserve">, </w:t>
      </w:r>
      <w:proofErr w:type="spellStart"/>
      <w:r w:rsidRPr="006F2664">
        <w:rPr>
          <w:i/>
        </w:rPr>
        <w:t>Oedogonium</w:t>
      </w:r>
      <w:proofErr w:type="spellEnd"/>
      <w:r w:rsidRPr="006F2664">
        <w:rPr>
          <w:i/>
        </w:rPr>
        <w:t xml:space="preserve">, </w:t>
      </w:r>
      <w:proofErr w:type="spellStart"/>
      <w:r w:rsidRPr="006F2664">
        <w:rPr>
          <w:i/>
        </w:rPr>
        <w:t>Microcystis</w:t>
      </w:r>
      <w:proofErr w:type="spellEnd"/>
      <w:r w:rsidRPr="006F2664">
        <w:rPr>
          <w:i/>
        </w:rPr>
        <w:t xml:space="preserve">, </w:t>
      </w:r>
      <w:proofErr w:type="spellStart"/>
      <w:r w:rsidR="001856C6" w:rsidRPr="006F2664">
        <w:rPr>
          <w:i/>
        </w:rPr>
        <w:t>Ulnaria</w:t>
      </w:r>
      <w:proofErr w:type="spellEnd"/>
      <w:r w:rsidR="001856C6" w:rsidRPr="006F2664">
        <w:rPr>
          <w:i/>
        </w:rPr>
        <w:t xml:space="preserve">, </w:t>
      </w:r>
      <w:proofErr w:type="spellStart"/>
      <w:r w:rsidRPr="006F2664">
        <w:rPr>
          <w:i/>
        </w:rPr>
        <w:t>Oscillatoria</w:t>
      </w:r>
      <w:proofErr w:type="spellEnd"/>
      <w:r w:rsidRPr="006F2664">
        <w:rPr>
          <w:i/>
        </w:rPr>
        <w:t xml:space="preserve">, </w:t>
      </w:r>
      <w:proofErr w:type="spellStart"/>
      <w:r w:rsidRPr="006F2664">
        <w:rPr>
          <w:i/>
        </w:rPr>
        <w:t>Pediastrum</w:t>
      </w:r>
      <w:proofErr w:type="spellEnd"/>
      <w:r w:rsidR="00CB29F3">
        <w:rPr>
          <w:i/>
        </w:rPr>
        <w:t>, Amphipod</w:t>
      </w:r>
      <w:r w:rsidR="00CB29F3">
        <w:t>.</w:t>
      </w:r>
      <w:r w:rsidR="00A831CB" w:rsidRPr="00A831CB">
        <w:t xml:space="preserve"> (photos </w:t>
      </w:r>
      <w:r w:rsidR="00A831CB">
        <w:t xml:space="preserve">from September 2017 </w:t>
      </w:r>
      <w:r w:rsidR="00A831CB" w:rsidRPr="00A831CB">
        <w:t>by Kurt Carpenter)</w:t>
      </w:r>
    </w:p>
    <w:sectPr w:rsidR="008A0581" w:rsidRPr="00A831CB" w:rsidSect="00FF0BA4">
      <w:footerReference w:type="default" r:id="rId18"/>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8EAAE" w14:textId="77777777" w:rsidR="0015389E" w:rsidRDefault="0015389E" w:rsidP="00A831CB">
      <w:pPr>
        <w:spacing w:after="0" w:line="240" w:lineRule="auto"/>
      </w:pPr>
      <w:r>
        <w:separator/>
      </w:r>
    </w:p>
  </w:endnote>
  <w:endnote w:type="continuationSeparator" w:id="0">
    <w:p w14:paraId="1ACCE3F5" w14:textId="77777777" w:rsidR="0015389E" w:rsidRDefault="0015389E" w:rsidP="00A8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451772"/>
      <w:docPartObj>
        <w:docPartGallery w:val="Page Numbers (Bottom of Page)"/>
        <w:docPartUnique/>
      </w:docPartObj>
    </w:sdtPr>
    <w:sdtEndPr>
      <w:rPr>
        <w:noProof/>
        <w:sz w:val="16"/>
        <w:szCs w:val="16"/>
      </w:rPr>
    </w:sdtEndPr>
    <w:sdtContent>
      <w:p w14:paraId="52B73558" w14:textId="6D162A81" w:rsidR="00A831CB" w:rsidRPr="00A831CB" w:rsidRDefault="00A831CB">
        <w:pPr>
          <w:pStyle w:val="Footer"/>
          <w:jc w:val="center"/>
          <w:rPr>
            <w:sz w:val="16"/>
            <w:szCs w:val="16"/>
          </w:rPr>
        </w:pPr>
        <w:r w:rsidRPr="00A831CB">
          <w:rPr>
            <w:sz w:val="16"/>
            <w:szCs w:val="16"/>
          </w:rPr>
          <w:fldChar w:fldCharType="begin"/>
        </w:r>
        <w:r w:rsidRPr="00A831CB">
          <w:rPr>
            <w:sz w:val="16"/>
            <w:szCs w:val="16"/>
          </w:rPr>
          <w:instrText xml:space="preserve"> PAGE   \* MERGEFORMAT </w:instrText>
        </w:r>
        <w:r w:rsidRPr="00A831CB">
          <w:rPr>
            <w:sz w:val="16"/>
            <w:szCs w:val="16"/>
          </w:rPr>
          <w:fldChar w:fldCharType="separate"/>
        </w:r>
        <w:r w:rsidR="007810AD">
          <w:rPr>
            <w:noProof/>
            <w:sz w:val="16"/>
            <w:szCs w:val="16"/>
          </w:rPr>
          <w:t>3</w:t>
        </w:r>
        <w:r w:rsidRPr="00A831CB">
          <w:rPr>
            <w:noProof/>
            <w:sz w:val="16"/>
            <w:szCs w:val="16"/>
          </w:rPr>
          <w:fldChar w:fldCharType="end"/>
        </w:r>
      </w:p>
    </w:sdtContent>
  </w:sdt>
  <w:p w14:paraId="3AD9F595" w14:textId="77777777" w:rsidR="00A831CB" w:rsidRDefault="00A8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3C20C" w14:textId="77777777" w:rsidR="0015389E" w:rsidRDefault="0015389E" w:rsidP="00A831CB">
      <w:pPr>
        <w:spacing w:after="0" w:line="240" w:lineRule="auto"/>
      </w:pPr>
      <w:r>
        <w:separator/>
      </w:r>
    </w:p>
  </w:footnote>
  <w:footnote w:type="continuationSeparator" w:id="0">
    <w:p w14:paraId="4FB479A2" w14:textId="77777777" w:rsidR="0015389E" w:rsidRDefault="0015389E" w:rsidP="00A8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6AC0"/>
    <w:multiLevelType w:val="hybridMultilevel"/>
    <w:tmpl w:val="12024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CB"/>
    <w:rsid w:val="00087FDE"/>
    <w:rsid w:val="000B7050"/>
    <w:rsid w:val="00101AD5"/>
    <w:rsid w:val="0015389E"/>
    <w:rsid w:val="001856C6"/>
    <w:rsid w:val="002D5ACA"/>
    <w:rsid w:val="003A6FE7"/>
    <w:rsid w:val="005170B9"/>
    <w:rsid w:val="00540CCB"/>
    <w:rsid w:val="00554FA4"/>
    <w:rsid w:val="006C696F"/>
    <w:rsid w:val="006F2664"/>
    <w:rsid w:val="007810AD"/>
    <w:rsid w:val="007A575B"/>
    <w:rsid w:val="00810C7A"/>
    <w:rsid w:val="008A0581"/>
    <w:rsid w:val="008C6E1B"/>
    <w:rsid w:val="009604E9"/>
    <w:rsid w:val="009D3C84"/>
    <w:rsid w:val="009D648F"/>
    <w:rsid w:val="009E6BCC"/>
    <w:rsid w:val="00A10CD3"/>
    <w:rsid w:val="00A831CB"/>
    <w:rsid w:val="00CA47BF"/>
    <w:rsid w:val="00CB29F3"/>
    <w:rsid w:val="00CE58BE"/>
    <w:rsid w:val="00D41304"/>
    <w:rsid w:val="00D74606"/>
    <w:rsid w:val="00D95962"/>
    <w:rsid w:val="00FB609A"/>
    <w:rsid w:val="00FF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39EC"/>
  <w15:chartTrackingRefBased/>
  <w15:docId w15:val="{ECED307E-AD2E-4AB2-8262-D13F14A1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CCB"/>
    <w:pPr>
      <w:ind w:left="720"/>
      <w:contextualSpacing/>
    </w:pPr>
  </w:style>
  <w:style w:type="character" w:styleId="CommentReference">
    <w:name w:val="annotation reference"/>
    <w:basedOn w:val="DefaultParagraphFont"/>
    <w:uiPriority w:val="99"/>
    <w:semiHidden/>
    <w:unhideWhenUsed/>
    <w:rsid w:val="001856C6"/>
    <w:rPr>
      <w:sz w:val="16"/>
      <w:szCs w:val="16"/>
    </w:rPr>
  </w:style>
  <w:style w:type="paragraph" w:styleId="CommentText">
    <w:name w:val="annotation text"/>
    <w:basedOn w:val="Normal"/>
    <w:link w:val="CommentTextChar"/>
    <w:uiPriority w:val="99"/>
    <w:semiHidden/>
    <w:unhideWhenUsed/>
    <w:rsid w:val="001856C6"/>
    <w:pPr>
      <w:spacing w:line="240" w:lineRule="auto"/>
    </w:pPr>
    <w:rPr>
      <w:sz w:val="20"/>
      <w:szCs w:val="20"/>
    </w:rPr>
  </w:style>
  <w:style w:type="character" w:customStyle="1" w:styleId="CommentTextChar">
    <w:name w:val="Comment Text Char"/>
    <w:basedOn w:val="DefaultParagraphFont"/>
    <w:link w:val="CommentText"/>
    <w:uiPriority w:val="99"/>
    <w:semiHidden/>
    <w:rsid w:val="001856C6"/>
    <w:rPr>
      <w:sz w:val="20"/>
      <w:szCs w:val="20"/>
    </w:rPr>
  </w:style>
  <w:style w:type="paragraph" w:styleId="CommentSubject">
    <w:name w:val="annotation subject"/>
    <w:basedOn w:val="CommentText"/>
    <w:next w:val="CommentText"/>
    <w:link w:val="CommentSubjectChar"/>
    <w:uiPriority w:val="99"/>
    <w:semiHidden/>
    <w:unhideWhenUsed/>
    <w:rsid w:val="001856C6"/>
    <w:rPr>
      <w:b/>
      <w:bCs/>
    </w:rPr>
  </w:style>
  <w:style w:type="character" w:customStyle="1" w:styleId="CommentSubjectChar">
    <w:name w:val="Comment Subject Char"/>
    <w:basedOn w:val="CommentTextChar"/>
    <w:link w:val="CommentSubject"/>
    <w:uiPriority w:val="99"/>
    <w:semiHidden/>
    <w:rsid w:val="001856C6"/>
    <w:rPr>
      <w:b/>
      <w:bCs/>
      <w:sz w:val="20"/>
      <w:szCs w:val="20"/>
    </w:rPr>
  </w:style>
  <w:style w:type="paragraph" w:styleId="BalloonText">
    <w:name w:val="Balloon Text"/>
    <w:basedOn w:val="Normal"/>
    <w:link w:val="BalloonTextChar"/>
    <w:uiPriority w:val="99"/>
    <w:semiHidden/>
    <w:unhideWhenUsed/>
    <w:rsid w:val="00185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6C6"/>
    <w:rPr>
      <w:rFonts w:ascii="Segoe UI" w:hAnsi="Segoe UI" w:cs="Segoe UI"/>
      <w:sz w:val="18"/>
      <w:szCs w:val="18"/>
    </w:rPr>
  </w:style>
  <w:style w:type="paragraph" w:styleId="Header">
    <w:name w:val="header"/>
    <w:basedOn w:val="Normal"/>
    <w:link w:val="HeaderChar"/>
    <w:uiPriority w:val="99"/>
    <w:unhideWhenUsed/>
    <w:rsid w:val="00A83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1CB"/>
  </w:style>
  <w:style w:type="paragraph" w:styleId="Footer">
    <w:name w:val="footer"/>
    <w:basedOn w:val="Normal"/>
    <w:link w:val="FooterChar"/>
    <w:uiPriority w:val="99"/>
    <w:unhideWhenUsed/>
    <w:rsid w:val="00A83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 Tamara</dc:creator>
  <cp:keywords/>
  <dc:description/>
  <cp:lastModifiedBy>Kraus, Tamara</cp:lastModifiedBy>
  <cp:revision>11</cp:revision>
  <dcterms:created xsi:type="dcterms:W3CDTF">2018-07-19T15:35:00Z</dcterms:created>
  <dcterms:modified xsi:type="dcterms:W3CDTF">2018-07-20T14:45:00Z</dcterms:modified>
</cp:coreProperties>
</file>