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23D3" w:rsidRDefault="00756DAF" w:rsidP="003F23D3">
      <w:bookmarkStart w:id="0" w:name="_GoBack"/>
      <w:bookmarkEnd w:id="0"/>
      <w:r w:rsidRPr="009548B3">
        <w:rPr>
          <w:b/>
        </w:rPr>
        <w:t>High-Resolution Mapping of ‘Reactive’ Inorganic Mercury Across the San Francisco Bay</w:t>
      </w:r>
      <w:r>
        <w:rPr>
          <w:b/>
        </w:rPr>
        <w:t>-</w:t>
      </w:r>
      <w:r w:rsidRPr="009548B3">
        <w:rPr>
          <w:b/>
        </w:rPr>
        <w:t>Delta</w:t>
      </w:r>
    </w:p>
    <w:p w:rsidR="003F23D3" w:rsidRDefault="00756DAF" w:rsidP="00756DAF">
      <w:pPr>
        <w:spacing w:after="0"/>
      </w:pPr>
      <w:r>
        <w:t xml:space="preserve">Lead PI: M. Marvin-DiPasquale (ESPD, Menlo Park, CA), </w:t>
      </w:r>
      <w:hyperlink r:id="rId5" w:history="1">
        <w:r w:rsidRPr="00065B07">
          <w:rPr>
            <w:rStyle w:val="Hyperlink"/>
          </w:rPr>
          <w:t>mmarvin@usgs.gov</w:t>
        </w:r>
      </w:hyperlink>
      <w:r>
        <w:t xml:space="preserve">,  </w:t>
      </w:r>
      <w:proofErr w:type="spellStart"/>
      <w:r>
        <w:t>ph</w:t>
      </w:r>
      <w:proofErr w:type="spellEnd"/>
      <w:r>
        <w:t>: 650-906-2640</w:t>
      </w:r>
    </w:p>
    <w:p w:rsidR="003F23D3" w:rsidRDefault="00756DAF" w:rsidP="00756DAF">
      <w:pPr>
        <w:spacing w:after="0"/>
      </w:pPr>
      <w:r>
        <w:t>Co-PIs: C. Alpers, J. Fleck, B. Bergamaschi (CA-WSC, Sacramento, CA)</w:t>
      </w:r>
      <w:r w:rsidR="006054CA">
        <w:t>, L. Windham-Myers (ESPD, Menlo Park, CA).</w:t>
      </w:r>
      <w:r>
        <w:t xml:space="preserve"> </w:t>
      </w:r>
    </w:p>
    <w:p w:rsidR="00756DAF" w:rsidRDefault="00756DAF" w:rsidP="00756DAF">
      <w:pPr>
        <w:pStyle w:val="ListParagraph"/>
      </w:pPr>
    </w:p>
    <w:p w:rsidR="006054CA" w:rsidRDefault="00756DAF" w:rsidP="00756DAF">
      <w:pPr>
        <w:pStyle w:val="ListParagraph"/>
        <w:ind w:left="0"/>
      </w:pPr>
      <w:r w:rsidRPr="00756DAF">
        <w:rPr>
          <w:b/>
        </w:rPr>
        <w:t>P</w:t>
      </w:r>
      <w:r w:rsidR="003F23D3" w:rsidRPr="00756DAF">
        <w:rPr>
          <w:b/>
        </w:rPr>
        <w:t>roposed work</w:t>
      </w:r>
      <w:r w:rsidRPr="00756DAF">
        <w:rPr>
          <w:b/>
        </w:rPr>
        <w:t>:</w:t>
      </w:r>
      <w:r>
        <w:rPr>
          <w:b/>
        </w:rPr>
        <w:t xml:space="preserve"> </w:t>
      </w:r>
      <w:r>
        <w:t>This study would examine for the first time the temporal (within a tidal cycle) and spatial variability of a unique fraction of the water column suspended particulate mercury (Hg) pool that is potentially available for microbial Hg-methylation (conversion to toxic methylmercury (</w:t>
      </w:r>
      <w:proofErr w:type="spellStart"/>
      <w:r>
        <w:t>MeHg</w:t>
      </w:r>
      <w:proofErr w:type="spellEnd"/>
      <w:r>
        <w:t>)). This effort would leverage the existing sampling framework of a newly funded</w:t>
      </w:r>
      <w:r w:rsidR="006054CA">
        <w:t xml:space="preserve"> ($1.7M, $1.2 M to USGS)</w:t>
      </w:r>
      <w:r>
        <w:t xml:space="preserve"> high-profile study to extensively map both total mercury (</w:t>
      </w:r>
      <w:proofErr w:type="spellStart"/>
      <w:r>
        <w:t>THg</w:t>
      </w:r>
      <w:proofErr w:type="spellEnd"/>
      <w:r>
        <w:t xml:space="preserve">) and </w:t>
      </w:r>
      <w:proofErr w:type="spellStart"/>
      <w:r>
        <w:t>MeHg</w:t>
      </w:r>
      <w:proofErr w:type="spellEnd"/>
      <w:r>
        <w:t xml:space="preserve"> in the SFB-Delta</w:t>
      </w:r>
      <w:r w:rsidR="006054CA">
        <w:t xml:space="preserve"> </w:t>
      </w:r>
      <w:r w:rsidR="006054CA">
        <w:fldChar w:fldCharType="begin"/>
      </w:r>
      <w:r w:rsidR="006054CA">
        <w:instrText xml:space="preserve"> ADDIN EN.CITE &lt;EndNote&gt;&lt;Cite&gt;&lt;Author&gt;Hestir&lt;/Author&gt;&lt;Year&gt;2018&lt;/Year&gt;&lt;RecNum&gt;4824&lt;/RecNum&gt;&lt;DisplayText&gt;(Hestir and others, 2018)&lt;/DisplayText&gt;&lt;record&gt;&lt;rec-number&gt;4824&lt;/rec-number&gt;&lt;foreign-keys&gt;&lt;key app="EN" db-id="9tfp0exz2sfrtked9e9vaz95zdrz5tva0t29" timestamp="1556943320"&gt;4824&lt;/key&gt;&lt;/foreign-keys&gt;&lt;ref-type name="Report"&gt;27&lt;/ref-type&gt;&lt;contributors&gt;&lt;authors&gt;&lt;author&gt;Hestir, E.&lt;/author&gt;&lt;author&gt;Marvin-DiPasquale, M.&lt;/author&gt;&lt;author&gt;Alpers, C.N.&lt;/author&gt;&lt;author&gt;Fleck, J.A.&lt;/author&gt;&lt;author&gt;Windham-Myers, L.&lt;/author&gt;&lt;author&gt;Bergamaschi, B.&lt;/author&gt;&lt;/authors&gt;&lt;/contributors&gt;&lt;titles&gt;&lt;title&gt;High-Resolution Temporal and Spatial Mapping of Mercury in Surface Waters of the San Francisco Bay Delta. Proposal to the California Dept. Fish and Wildlife (Proposition 1 – Watershed and Delta Ecosystem Restoration Grant Programs). Submitted 06/13/2018&lt;/title&gt;&lt;/titles&gt;&lt;dates&gt;&lt;year&gt;2018&lt;/year&gt;&lt;/dates&gt;&lt;urls&gt;&lt;/urls&gt;&lt;/record&gt;&lt;/Cite&gt;&lt;/EndNote&gt;</w:instrText>
      </w:r>
      <w:r w:rsidR="006054CA">
        <w:fldChar w:fldCharType="separate"/>
      </w:r>
      <w:r w:rsidR="006054CA">
        <w:rPr>
          <w:noProof/>
        </w:rPr>
        <w:t>(Hestir and others, 2018)</w:t>
      </w:r>
      <w:r w:rsidR="006054CA">
        <w:fldChar w:fldCharType="end"/>
      </w:r>
      <w:r>
        <w:t xml:space="preserve">.  </w:t>
      </w:r>
      <w:r w:rsidR="00177B34">
        <w:t>See ‘Supplemental Attachment’ for further context regarding this larger, multi-year effort.</w:t>
      </w:r>
    </w:p>
    <w:p w:rsidR="00177B34" w:rsidRDefault="00177B34" w:rsidP="00756DAF">
      <w:pPr>
        <w:pStyle w:val="ListParagraph"/>
        <w:ind w:left="0"/>
      </w:pPr>
    </w:p>
    <w:p w:rsidR="003F23D3" w:rsidRDefault="00B70DB5" w:rsidP="00177B34">
      <w:pPr>
        <w:pStyle w:val="ListParagraph"/>
        <w:ind w:left="0"/>
      </w:pPr>
      <w:r>
        <w:t>Reactive mercury (</w:t>
      </w:r>
      <w:proofErr w:type="spellStart"/>
      <w:r>
        <w:t>RHg</w:t>
      </w:r>
      <w:proofErr w:type="spellEnd"/>
      <w:r>
        <w:t xml:space="preserve">) is a methodologically defined (tin reducible) subset of the larger divalent inorganic mercury (Hg(II)) pool that has been extensively studied by the Menlo Park USGS research team, primarily in surficial sediment </w:t>
      </w:r>
      <w:r>
        <w:fldChar w:fldCharType="begin">
          <w:fldData xml:space="preserve">PEVuZE5vdGU+PENpdGU+PEF1dGhvcj5NYXJ2aW4tRGlQYXNxdWFsZTwvQXV0aG9yPjxZZWFyPjIw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</w:fldData>
        </w:fldChar>
      </w:r>
      <w:r>
        <w:instrText xml:space="preserve"> ADDIN EN.CITE </w:instrText>
      </w:r>
      <w:r>
        <w:fldChar w:fldCharType="begin">
          <w:fldData xml:space="preserve">PEVuZE5vdGU+PENpdGU+PEF1dGhvcj5NYXJ2aW4tRGlQYXNxdWFsZTwvQXV0aG9yPjxZZWFyPjIw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</w:fldData>
        </w:fldChar>
      </w:r>
      <w:r>
        <w:instrText xml:space="preserve"> ADDIN EN.CITE.DATA </w:instrText>
      </w:r>
      <w:r>
        <w:fldChar w:fldCharType="end"/>
      </w:r>
      <w:r>
        <w:fldChar w:fldCharType="separate"/>
      </w:r>
      <w:r>
        <w:rPr>
          <w:noProof/>
        </w:rPr>
        <w:t>(Marvin-DiPasquale and Cox, 2007; Marvin-DiPasquale and others, 2009a; Marvin-DiPasquale and others, 2009b; Marvin-DiPasquale and others, 2011; Marvin-DiPasquale and others, 2014)</w:t>
      </w:r>
      <w:r>
        <w:fldChar w:fldCharType="end"/>
      </w:r>
      <w:r>
        <w:t xml:space="preserve"> (Fig. 1). </w:t>
      </w:r>
      <w:proofErr w:type="spellStart"/>
      <w:r>
        <w:t>RHg</w:t>
      </w:r>
      <w:proofErr w:type="spellEnd"/>
      <w:r>
        <w:t xml:space="preserve"> represents a comparatively labile, microbially available, Hg(II) fraction that is largely associated with sorption to inorganic and organic particulate surfaces, as opposed to being part of the structural composition of particulates (e.g. mineral </w:t>
      </w:r>
      <w:proofErr w:type="spellStart"/>
      <w:r>
        <w:t>HgS</w:t>
      </w:r>
      <w:proofErr w:type="spellEnd"/>
      <w:r>
        <w:t xml:space="preserve"> particulates).  It has been successfully used to better understand where and when microbial </w:t>
      </w:r>
      <w:proofErr w:type="spellStart"/>
      <w:r>
        <w:t>MeHg</w:t>
      </w:r>
      <w:proofErr w:type="spellEnd"/>
      <w:r>
        <w:t xml:space="preserve"> formation occurs and the mechanisms that control it. </w:t>
      </w:r>
      <w:proofErr w:type="spellStart"/>
      <w:r>
        <w:t>RHg</w:t>
      </w:r>
      <w:proofErr w:type="spellEnd"/>
      <w:r>
        <w:t xml:space="preserve"> measurement has only rarely been made on water-column particulates</w:t>
      </w:r>
      <w:r w:rsidR="00422DE3">
        <w:t xml:space="preserve"> (Fig. 2)</w:t>
      </w:r>
      <w:r>
        <w:t xml:space="preserve">, which represent the transport pathway of Hg(II) to the benthos where most </w:t>
      </w:r>
      <w:proofErr w:type="spellStart"/>
      <w:r>
        <w:t>MeHg</w:t>
      </w:r>
      <w:proofErr w:type="spellEnd"/>
      <w:r>
        <w:t xml:space="preserve"> production occurs.  I</w:t>
      </w:r>
      <w:r w:rsidR="004F5083">
        <w:t>n</w:t>
      </w:r>
      <w:r>
        <w:t xml:space="preserve"> addition to </w:t>
      </w:r>
      <w:proofErr w:type="spellStart"/>
      <w:r>
        <w:t>RHg</w:t>
      </w:r>
      <w:proofErr w:type="spellEnd"/>
      <w:r>
        <w:t xml:space="preserve"> itself, we propose to also collect samples for </w:t>
      </w:r>
      <w:r w:rsidR="00756DAF">
        <w:t>particulate organic carbon (POC) and nitrogen (PN)</w:t>
      </w:r>
      <w:r>
        <w:t>, with the hypothesis that suspended particulate composition</w:t>
      </w:r>
      <w:r w:rsidR="00177B34">
        <w:t xml:space="preserve"> will be primary determinant of the </w:t>
      </w:r>
      <w:proofErr w:type="spellStart"/>
      <w:r w:rsidR="006F5824">
        <w:t>RHg</w:t>
      </w:r>
      <w:proofErr w:type="spellEnd"/>
      <w:r w:rsidR="006F5824">
        <w:t xml:space="preserve"> </w:t>
      </w:r>
      <w:r w:rsidR="00177B34">
        <w:t xml:space="preserve">absolute and relative (as % of </w:t>
      </w:r>
      <w:proofErr w:type="spellStart"/>
      <w:r w:rsidR="00177B34">
        <w:t>THg</w:t>
      </w:r>
      <w:proofErr w:type="spellEnd"/>
      <w:r w:rsidR="00177B34">
        <w:t xml:space="preserve">) </w:t>
      </w:r>
      <w:r w:rsidR="006F5824">
        <w:t>concentration</w:t>
      </w:r>
      <w:r w:rsidR="00177B34">
        <w:t xml:space="preserve">, both temporally (within a tidal cycle) and spatially in the SFB-Delta.  </w:t>
      </w:r>
      <w:r w:rsidR="004F5083">
        <w:t xml:space="preserve">The larger externally funded project was not able to afford these additional </w:t>
      </w:r>
      <w:proofErr w:type="spellStart"/>
      <w:r w:rsidR="004F5083">
        <w:t>RHg</w:t>
      </w:r>
      <w:proofErr w:type="spellEnd"/>
      <w:r w:rsidR="004F5083">
        <w:t xml:space="preserve">, POC and PN measurements. </w:t>
      </w:r>
      <w:r w:rsidR="00921C8C">
        <w:t>Thus,</w:t>
      </w:r>
      <w:r w:rsidR="004F5083">
        <w:t xml:space="preserve"> this USGS funding will allow us to explore the value of these metrics in the context of the first </w:t>
      </w:r>
      <w:r w:rsidR="004D0275">
        <w:t xml:space="preserve">(July 2019) </w:t>
      </w:r>
      <w:r w:rsidR="004F5083">
        <w:t>of four planned sampling event</w:t>
      </w:r>
      <w:r w:rsidR="004D0275">
        <w:t>s</w:t>
      </w:r>
      <w:r w:rsidR="004F5083">
        <w:t xml:space="preserve">. </w:t>
      </w:r>
    </w:p>
    <w:p w:rsidR="003F23D3" w:rsidRDefault="0040226B" w:rsidP="003F23D3">
      <w:r w:rsidRPr="000D3A14">
        <w:rPr>
          <w:b/>
        </w:rPr>
        <w:t>Products:</w:t>
      </w:r>
      <w:r>
        <w:t xml:space="preserve"> </w:t>
      </w:r>
      <w:r w:rsidR="003F23D3">
        <w:t xml:space="preserve"> </w:t>
      </w:r>
      <w:r w:rsidR="000D3A14">
        <w:t>The near-term product (by the end of FY19) associated with this effort will be a USGS Data Release (</w:t>
      </w:r>
      <w:proofErr w:type="spellStart"/>
      <w:r w:rsidR="000D3A14">
        <w:t>ScienceBase</w:t>
      </w:r>
      <w:proofErr w:type="spellEnd"/>
      <w:r w:rsidR="000D3A14">
        <w:t xml:space="preserve">) of the </w:t>
      </w:r>
      <w:proofErr w:type="spellStart"/>
      <w:r w:rsidR="000D3A14">
        <w:t>RHg</w:t>
      </w:r>
      <w:proofErr w:type="spellEnd"/>
      <w:r w:rsidR="000D3A14">
        <w:t xml:space="preserve"> and POC/PN data collected. Because the ultimate purpose and value of this supplemental data is in the context of the larger study, the results will ultimately be incorporated into the interpretative products associated with the larger project (ending March 2022), which include a final (publicly available) report to the primary funding agency, planned journal articles, and multiple public presentation at regional and national meetings over the course of the study. </w:t>
      </w:r>
    </w:p>
    <w:p w:rsidR="003F23D3" w:rsidRDefault="003F23D3" w:rsidP="003F23D3">
      <w:r w:rsidRPr="000D3A14">
        <w:rPr>
          <w:b/>
        </w:rPr>
        <w:t>Affirmation</w:t>
      </w:r>
      <w:r w:rsidR="000D3A14" w:rsidRPr="000D3A14">
        <w:rPr>
          <w:b/>
        </w:rPr>
        <w:t>:</w:t>
      </w:r>
      <w:r w:rsidR="000D3A14">
        <w:t xml:space="preserve"> It is understood</w:t>
      </w:r>
      <w:r>
        <w:t xml:space="preserve"> that award funds will </w:t>
      </w:r>
      <w:r w:rsidR="000D3A14">
        <w:t xml:space="preserve">need to </w:t>
      </w:r>
      <w:r>
        <w:t>be expended within FY ’1</w:t>
      </w:r>
      <w:r w:rsidR="003C0365">
        <w:t>9</w:t>
      </w:r>
      <w:r>
        <w:t>, all products</w:t>
      </w:r>
      <w:r w:rsidR="000D3A14">
        <w:t xml:space="preserve"> will be</w:t>
      </w:r>
      <w:r>
        <w:t xml:space="preserve"> completed </w:t>
      </w:r>
      <w:r w:rsidR="006054CA">
        <w:t>by</w:t>
      </w:r>
      <w:r>
        <w:t xml:space="preserve"> the end of FY ’1</w:t>
      </w:r>
      <w:r w:rsidR="003C0365">
        <w:t>9</w:t>
      </w:r>
      <w:r w:rsidR="000D3A14">
        <w:t xml:space="preserve">, </w:t>
      </w:r>
      <w:r>
        <w:t>no additional PES funds</w:t>
      </w:r>
      <w:r w:rsidR="000D3A14">
        <w:t xml:space="preserve"> are assumed</w:t>
      </w:r>
      <w:r>
        <w:t xml:space="preserve">, and </w:t>
      </w:r>
      <w:r w:rsidR="003C0365">
        <w:t xml:space="preserve">funds </w:t>
      </w:r>
      <w:r>
        <w:t xml:space="preserve">awarded </w:t>
      </w:r>
      <w:r w:rsidR="000D3A14">
        <w:t>can</w:t>
      </w:r>
      <w:r w:rsidR="003C0365">
        <w:t xml:space="preserve">not carried </w:t>
      </w:r>
      <w:r w:rsidR="000D3A14">
        <w:t xml:space="preserve">be carried </w:t>
      </w:r>
      <w:r w:rsidR="003C0365">
        <w:t>over</w:t>
      </w:r>
      <w:r>
        <w:t xml:space="preserve"> to FY’</w:t>
      </w:r>
      <w:r w:rsidR="003C0365">
        <w:t>20.</w:t>
      </w:r>
    </w:p>
    <w:p w:rsidR="006054CA" w:rsidRDefault="000D3A14" w:rsidP="003F23D3">
      <w:r w:rsidRPr="000D3A14">
        <w:rPr>
          <w:b/>
        </w:rPr>
        <w:t>Funding Request</w:t>
      </w:r>
      <w:r>
        <w:t xml:space="preserve">:  </w:t>
      </w:r>
      <w:r w:rsidRPr="006F5824">
        <w:rPr>
          <w:u w:val="single"/>
        </w:rPr>
        <w:t>$</w:t>
      </w:r>
      <w:r w:rsidR="006F5824" w:rsidRPr="006F5824">
        <w:rPr>
          <w:u w:val="single"/>
        </w:rPr>
        <w:t>21,265 Total Gross</w:t>
      </w:r>
      <w:r w:rsidR="006F5824">
        <w:t xml:space="preserve"> (assumes 19% on net for appropriated funds)</w:t>
      </w:r>
      <w:r>
        <w:t xml:space="preserve">. Includes a </w:t>
      </w:r>
      <w:r w:rsidR="006054CA">
        <w:t>$</w:t>
      </w:r>
      <w:r w:rsidR="006F5824">
        <w:t>2</w:t>
      </w:r>
      <w:r w:rsidR="006054CA">
        <w:t>,</w:t>
      </w:r>
      <w:r w:rsidR="006F5824">
        <w:t>535</w:t>
      </w:r>
      <w:r w:rsidR="006054CA">
        <w:t xml:space="preserve"> sub-allocation to the CA-WSC for sample collection and initial processing (filtering), $</w:t>
      </w:r>
      <w:r w:rsidR="006F5824">
        <w:t>12,674</w:t>
      </w:r>
      <w:r w:rsidR="006054CA">
        <w:t xml:space="preserve"> for </w:t>
      </w:r>
      <w:r w:rsidR="006F5824">
        <w:t xml:space="preserve">approx. </w:t>
      </w:r>
      <w:r w:rsidR="00B70DB5">
        <w:t xml:space="preserve">70 </w:t>
      </w:r>
      <w:r w:rsidR="006F5824">
        <w:t xml:space="preserve">sample analyses for both </w:t>
      </w:r>
      <w:proofErr w:type="spellStart"/>
      <w:r w:rsidR="00B70DB5">
        <w:t>RHg</w:t>
      </w:r>
      <w:proofErr w:type="spellEnd"/>
      <w:r w:rsidR="00B70DB5">
        <w:t xml:space="preserve"> and P</w:t>
      </w:r>
      <w:r w:rsidR="00D143E9">
        <w:t>O</w:t>
      </w:r>
      <w:r w:rsidR="00B70DB5">
        <w:t>C/PN</w:t>
      </w:r>
      <w:r w:rsidR="006054CA">
        <w:t xml:space="preserve"> (ESPD, Menlo Park), </w:t>
      </w:r>
      <w:r w:rsidR="006F5824">
        <w:t xml:space="preserve">and </w:t>
      </w:r>
      <w:r w:rsidR="006054CA">
        <w:t>$</w:t>
      </w:r>
      <w:r w:rsidR="006F5824">
        <w:t>6,057</w:t>
      </w:r>
      <w:r w:rsidR="006054CA">
        <w:t xml:space="preserve"> </w:t>
      </w:r>
      <w:r w:rsidR="006F5824">
        <w:t xml:space="preserve">for </w:t>
      </w:r>
      <w:r w:rsidR="006054CA">
        <w:t>Data Management and Science Base Product (PLB</w:t>
      </w:r>
      <w:r w:rsidR="006F5824">
        <w:t xml:space="preserve"> staff</w:t>
      </w:r>
      <w:r w:rsidR="006054CA">
        <w:t>, Menlo Park, CA).</w:t>
      </w:r>
    </w:p>
    <w:p w:rsidR="006F5824" w:rsidRDefault="006F5824" w:rsidP="00177B34">
      <w:pPr>
        <w:pStyle w:val="EndNoteBibliography"/>
        <w:ind w:left="720" w:hanging="720"/>
        <w:rPr>
          <w:b/>
        </w:rPr>
      </w:pPr>
    </w:p>
    <w:p w:rsidR="004F5083" w:rsidRPr="004F5083" w:rsidRDefault="004F5083" w:rsidP="00177B34">
      <w:pPr>
        <w:pStyle w:val="EndNoteBibliography"/>
        <w:ind w:left="720" w:hanging="720"/>
        <w:rPr>
          <w:b/>
        </w:rPr>
      </w:pPr>
      <w:r w:rsidRPr="004F5083">
        <w:rPr>
          <w:b/>
        </w:rPr>
        <w:lastRenderedPageBreak/>
        <w:t>REFERENCES</w:t>
      </w:r>
    </w:p>
    <w:p w:rsidR="006F5824" w:rsidRPr="006F5824" w:rsidRDefault="006054CA" w:rsidP="006F5824">
      <w:pPr>
        <w:pStyle w:val="EndNoteBibliography"/>
        <w:ind w:left="720" w:hanging="720"/>
      </w:pPr>
      <w:r>
        <w:fldChar w:fldCharType="begin"/>
      </w:r>
      <w:r>
        <w:instrText xml:space="preserve"> ADDIN EN.REFLIST </w:instrText>
      </w:r>
      <w:r>
        <w:fldChar w:fldCharType="separate"/>
      </w:r>
      <w:r w:rsidR="006F5824" w:rsidRPr="006F5824">
        <w:t>Hestir, E., Marvin-DiPasquale, M., Alpers, C.N., Fleck, J.A., Windham-Myers, L., and Bergamaschi, B., 2018, High-Resolution Temporal and Spatial Mapping of Mercury in Surface Waters of the San Francisco Bay Delta. Proposal to the California Dept. Fish and Wildlife (Proposition 1 – Watershed and Delta Ecosystem Restoration Grant Programs). Submitted 06/13/2018.</w:t>
      </w:r>
    </w:p>
    <w:p w:rsidR="006F5824" w:rsidRPr="006F5824" w:rsidRDefault="006F5824" w:rsidP="006F5824">
      <w:pPr>
        <w:pStyle w:val="EndNoteBibliography"/>
        <w:spacing w:after="0"/>
      </w:pPr>
    </w:p>
    <w:p w:rsidR="006F5824" w:rsidRPr="006F5824" w:rsidRDefault="006F5824" w:rsidP="006F5824">
      <w:pPr>
        <w:pStyle w:val="EndNoteBibliography"/>
        <w:ind w:left="720" w:hanging="720"/>
      </w:pPr>
      <w:r w:rsidRPr="006F5824">
        <w:t>Marvin-DiPasquale, M., Agee, J.L., Kakouros, E., Kieu, L.H., Fleck, J.A., and Alpers, C.N., 2011, The effects of sediment and mercury mobilization in the South Yuba River and Humbug Creek confluence area, Nevada County, California: Concentrations, speciation and environmental fate—Part 2: Laboratory Experiments: U.S. Geological Survey Open-File Report 2010−1325B, 53 p.</w:t>
      </w:r>
    </w:p>
    <w:p w:rsidR="006F5824" w:rsidRPr="006F5824" w:rsidRDefault="006F5824" w:rsidP="006F5824">
      <w:pPr>
        <w:pStyle w:val="EndNoteBibliography"/>
        <w:spacing w:after="0"/>
      </w:pPr>
    </w:p>
    <w:p w:rsidR="006F5824" w:rsidRPr="006F5824" w:rsidRDefault="006F5824" w:rsidP="006F5824">
      <w:pPr>
        <w:pStyle w:val="EndNoteBibliography"/>
        <w:ind w:left="720" w:hanging="720"/>
      </w:pPr>
      <w:r w:rsidRPr="006F5824">
        <w:t>Marvin-DiPasquale, M., Alpers, C.N., and Fleck, J.A., 2009a, Mercury, Methylmercury, and Other Constituents in Sediment and Water from Seasonal and Permanent Wetlands in the Cache Creek Settling Basin and Yolo Bypass, Yolo County, California, 2005−06: U.S. Geological Survey Open File Report 2009-1182, 69 p.</w:t>
      </w:r>
    </w:p>
    <w:p w:rsidR="006F5824" w:rsidRPr="006F5824" w:rsidRDefault="006F5824" w:rsidP="006F5824">
      <w:pPr>
        <w:pStyle w:val="EndNoteBibliography"/>
        <w:spacing w:after="0"/>
      </w:pPr>
    </w:p>
    <w:p w:rsidR="006F5824" w:rsidRPr="006F5824" w:rsidRDefault="006F5824" w:rsidP="006F5824">
      <w:pPr>
        <w:pStyle w:val="EndNoteBibliography"/>
        <w:ind w:left="720" w:hanging="720"/>
      </w:pPr>
      <w:r w:rsidRPr="006F5824">
        <w:t>Marvin-DiPasquale, M., and Cox, M.H., 2007, Legacy Mercury in Alviso Slough, South San Francisco Bay, California: Concentration, Speciation and Mobility U.S. Geological Survey Open-File Report number 2007-1240, 98 p.</w:t>
      </w:r>
    </w:p>
    <w:p w:rsidR="006F5824" w:rsidRPr="006F5824" w:rsidRDefault="006F5824" w:rsidP="006F5824">
      <w:pPr>
        <w:pStyle w:val="EndNoteBibliography"/>
        <w:spacing w:after="0"/>
      </w:pPr>
    </w:p>
    <w:p w:rsidR="006F5824" w:rsidRPr="006F5824" w:rsidRDefault="006F5824" w:rsidP="006F5824">
      <w:pPr>
        <w:pStyle w:val="EndNoteBibliography"/>
        <w:ind w:left="720" w:hanging="720"/>
      </w:pPr>
      <w:r w:rsidRPr="006F5824">
        <w:t>Marvin-DiPasquale, M., Lutz, M.A., Brigham, M.E., Krabbenhoft, D.P., Aiken, G.R., Orem, W.H., and Hall, B.D., 2009b, Mercury Cycling in Stream Ecosystems. 2. Benthic Methylmercury Production and Bed Sediment−Pore Water Partitioning: Environmental science &amp; technology, v. 43, no. 8, p. 2726-2732.</w:t>
      </w:r>
    </w:p>
    <w:p w:rsidR="006F5824" w:rsidRPr="006F5824" w:rsidRDefault="006F5824" w:rsidP="006F5824">
      <w:pPr>
        <w:pStyle w:val="EndNoteBibliography"/>
        <w:spacing w:after="0"/>
      </w:pPr>
    </w:p>
    <w:p w:rsidR="006F5824" w:rsidRPr="006F5824" w:rsidRDefault="006F5824" w:rsidP="006F5824">
      <w:pPr>
        <w:pStyle w:val="EndNoteBibliography"/>
        <w:ind w:left="720" w:hanging="720"/>
      </w:pPr>
      <w:r w:rsidRPr="006F5824">
        <w:t>Marvin-DiPasquale, M., Windham-Myers, L., Agee, J.L., Kakouros, E., Kieu, L.H., Fleck, J., Alpers, C.N., and Stricker, C., 2014, Methylmercury production in sediment from agricultural and non-agricultural wetlands in the Yolo Bypass, California: Science of The Total Environment, v. 484, p. 288-299.</w:t>
      </w:r>
    </w:p>
    <w:p w:rsidR="006F5824" w:rsidRPr="006F5824" w:rsidRDefault="006F5824" w:rsidP="006F5824">
      <w:pPr>
        <w:pStyle w:val="EndNoteBibliography"/>
      </w:pPr>
    </w:p>
    <w:p w:rsidR="006F5824" w:rsidRDefault="006054CA" w:rsidP="003F23D3">
      <w:r>
        <w:fldChar w:fldCharType="end"/>
      </w:r>
    </w:p>
    <w:p w:rsidR="006F5824" w:rsidRDefault="006F5824">
      <w:r>
        <w:br w:type="page"/>
      </w:r>
    </w:p>
    <w:p w:rsidR="00FE0891" w:rsidRDefault="006F5824" w:rsidP="00696566">
      <w:pPr>
        <w:rPr>
          <w:b/>
        </w:rPr>
      </w:pPr>
      <w:r w:rsidRPr="00D03AE7">
        <w:rPr>
          <w:noProof/>
        </w:rPr>
        <w:lastRenderedPageBreak/>
        <w:drawing>
          <wp:inline distT="0" distB="0" distL="0" distR="0" wp14:anchorId="531F9BF5" wp14:editId="7EAEE3E3">
            <wp:extent cx="5362575" cy="2447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t="6204" r="10208"/>
                    <a:stretch/>
                  </pic:blipFill>
                  <pic:spPr bwMode="auto">
                    <a:xfrm>
                      <a:off x="0" y="0"/>
                      <a:ext cx="5362575" cy="2447925"/>
                    </a:xfrm>
                    <a:prstGeom prst="rect">
                      <a:avLst/>
                    </a:prstGeom>
                    <a:noFill/>
                    <a:ln>
                      <a:noFill/>
                    </a:ln>
                    <a:extLst>
                      <a:ext uri="{53640926-AAD7-44D8-BBD7-CCE9431645EC}">
                        <a14:shadowObscured xmlns:a14="http://schemas.microsoft.com/office/drawing/2010/main"/>
                      </a:ext>
                    </a:extLst>
                  </pic:spPr>
                </pic:pic>
              </a:graphicData>
            </a:graphic>
          </wp:inline>
        </w:drawing>
      </w:r>
    </w:p>
    <w:p w:rsidR="00696566" w:rsidRPr="00FE0891" w:rsidRDefault="00696566" w:rsidP="00696566">
      <w:pPr>
        <w:rPr>
          <w:b/>
        </w:rPr>
      </w:pPr>
      <w:r w:rsidRPr="00914D6A">
        <w:rPr>
          <w:b/>
        </w:rPr>
        <w:t>Figure 1.</w:t>
      </w:r>
      <w:r>
        <w:t xml:space="preserve"> Sediment reactive mercury (</w:t>
      </w:r>
      <w:proofErr w:type="spellStart"/>
      <w:r>
        <w:t>RHg</w:t>
      </w:r>
      <w:proofErr w:type="spellEnd"/>
      <w:r>
        <w:t>) concentrations as a function of salinity (left) and various regions of the San Francisco Bay estuary, delta and watershed (right). The bars represent modeled least square means (LSM) and the error bars represent standard errors. The letters above each bar represent the Tukey pair-wise comparison ranking. Bars sharing the same letters are not significantly different. The number of observations (N) used in the LSM models are indicated in each case. Unpublished data (Marvin-DiPasquale, USGS, Menlo Park, CA).</w:t>
      </w:r>
    </w:p>
    <w:p w:rsidR="00696566" w:rsidRDefault="00696566" w:rsidP="00696566">
      <w:r>
        <w:t xml:space="preserve">The above statistical analysis of </w:t>
      </w:r>
      <w:proofErr w:type="spellStart"/>
      <w:r>
        <w:t>RHg</w:t>
      </w:r>
      <w:proofErr w:type="spellEnd"/>
      <w:r>
        <w:t xml:space="preserve"> data was conducted across a very wide spatial scale, and includes sites ranging from the Sierra Nevada (watershed draining to the Delta) to the South SFB Salt Ponds. There are very clear geochemical trends, with sediment </w:t>
      </w:r>
      <w:proofErr w:type="spellStart"/>
      <w:r>
        <w:t>RHg</w:t>
      </w:r>
      <w:proofErr w:type="spellEnd"/>
      <w:r>
        <w:t xml:space="preserve"> concentrations decreasing with increasing salinity (Fig. 1, left). There are also very clear regional trends, with sediment from the lower Sacramento River region having the highest </w:t>
      </w:r>
      <w:proofErr w:type="spellStart"/>
      <w:r>
        <w:t>RHg</w:t>
      </w:r>
      <w:proofErr w:type="spellEnd"/>
      <w:r>
        <w:t xml:space="preserve"> concentration (Fig. 1, right), compared to the central SFB-Delta, the Sierra Nevada rivers/reservoirs, and other regions in the estuary downstream of the delta.  Given the above trends derived across very broad regional scales and salinities, it would be very informative to better understand, at a much more targeted scale, how salinity and sub-regions within the tidally influenced mixing zones of the Lower Sacramento and central SFB-Delta affect </w:t>
      </w:r>
      <w:proofErr w:type="spellStart"/>
      <w:r>
        <w:t>RHg</w:t>
      </w:r>
      <w:proofErr w:type="spellEnd"/>
      <w:r>
        <w:t xml:space="preserve"> associated with surface-water particulates. Both of these regions are part of the larger externally funded study that this USGS-PES funding would be leveraging.</w:t>
      </w:r>
    </w:p>
    <w:p w:rsidR="00696566" w:rsidRDefault="00696566" w:rsidP="00696566"/>
    <w:p w:rsidR="00696566" w:rsidRDefault="00FE0891">
      <w:r>
        <w:rPr>
          <w:noProof/>
        </w:rPr>
        <w:drawing>
          <wp:anchor distT="0" distB="0" distL="114300" distR="114300" simplePos="0" relativeHeight="251665408" behindDoc="0" locked="0" layoutInCell="1" allowOverlap="1" wp14:anchorId="20EC938C">
            <wp:simplePos x="0" y="0"/>
            <wp:positionH relativeFrom="margin">
              <wp:posOffset>-552450</wp:posOffset>
            </wp:positionH>
            <wp:positionV relativeFrom="paragraph">
              <wp:posOffset>-240030</wp:posOffset>
            </wp:positionV>
            <wp:extent cx="3752850" cy="2276475"/>
            <wp:effectExtent l="0" t="0" r="0" b="0"/>
            <wp:wrapSquare wrapText="bothSides"/>
            <wp:docPr id="1" name="Chart 1">
              <a:extLst xmlns:a="http://schemas.openxmlformats.org/drawingml/2006/main">
                <a:ext uri="{FF2B5EF4-FFF2-40B4-BE49-F238E27FC236}">
                  <a16:creationId xmlns:a16="http://schemas.microsoft.com/office/drawing/2014/main" id="{6DF08FB1-8651-456C-870D-E7F581419906}"/>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14:sizeRelH relativeFrom="margin">
              <wp14:pctWidth>0</wp14:pctWidth>
            </wp14:sizeRelH>
            <wp14:sizeRelV relativeFrom="margin">
              <wp14:pctHeight>0</wp14:pctHeight>
            </wp14:sizeRelV>
          </wp:anchor>
        </w:drawing>
      </w:r>
      <w:r w:rsidR="001978CB" w:rsidRPr="001978CB">
        <w:rPr>
          <w:b/>
        </w:rPr>
        <w:t>Figure 2.</w:t>
      </w:r>
      <w:r w:rsidR="001978CB">
        <w:t xml:space="preserve"> Percent</w:t>
      </w:r>
      <w:r>
        <w:t>age of</w:t>
      </w:r>
      <w:r w:rsidR="001978CB">
        <w:t xml:space="preserve"> particulate reactive mercury (%.</w:t>
      </w:r>
      <w:proofErr w:type="spellStart"/>
      <w:r w:rsidR="001978CB">
        <w:t>p.RHg</w:t>
      </w:r>
      <w:proofErr w:type="spellEnd"/>
      <w:r w:rsidR="001978CB">
        <w:t>) in surface water of Alviso Slough (South San Francisco Bay) collected over 25 hours (2 tidal cycles</w:t>
      </w:r>
      <w:r>
        <w:t>, Feb. 7-8, 2013</w:t>
      </w:r>
      <w:r w:rsidR="001978CB">
        <w:t>) and plotted with tidal stage.   It is clear from this example that the %.</w:t>
      </w:r>
      <w:proofErr w:type="spellStart"/>
      <w:r w:rsidR="001978CB">
        <w:t>p.RHg</w:t>
      </w:r>
      <w:proofErr w:type="spellEnd"/>
      <w:r w:rsidR="001978CB">
        <w:t xml:space="preserve"> is not constant and can be strongly influenced by the source of the flood </w:t>
      </w:r>
      <w:r>
        <w:t xml:space="preserve">(bay) </w:t>
      </w:r>
      <w:r w:rsidR="001978CB">
        <w:t xml:space="preserve">and ebb </w:t>
      </w:r>
      <w:r>
        <w:t xml:space="preserve">(watershed) </w:t>
      </w:r>
      <w:r w:rsidR="001978CB">
        <w:t xml:space="preserve">tide waters. </w:t>
      </w:r>
      <w:r w:rsidR="00696566">
        <w:br w:type="page"/>
      </w:r>
    </w:p>
    <w:p w:rsidR="005E0EAA" w:rsidRDefault="005E0EAA" w:rsidP="005E0EAA">
      <w:pPr>
        <w:jc w:val="center"/>
        <w:outlineLvl w:val="0"/>
        <w:rPr>
          <w:rFonts w:ascii="Times New Roman" w:hAnsi="Times New Roman" w:cs="Times New Roman"/>
          <w:b/>
          <w:sz w:val="24"/>
          <w:szCs w:val="24"/>
        </w:rPr>
      </w:pPr>
      <w:r w:rsidRPr="00A51B08">
        <w:rPr>
          <w:rFonts w:ascii="Times New Roman" w:hAnsi="Times New Roman" w:cs="Times New Roman"/>
          <w:b/>
          <w:sz w:val="24"/>
          <w:szCs w:val="24"/>
        </w:rPr>
        <w:lastRenderedPageBreak/>
        <w:t>Supplemental Attachment</w:t>
      </w:r>
    </w:p>
    <w:p w:rsidR="003F66A1" w:rsidRDefault="005E0EAA" w:rsidP="005E0EAA">
      <w:pPr>
        <w:jc w:val="center"/>
        <w:outlineLvl w:val="0"/>
        <w:rPr>
          <w:rFonts w:ascii="Times New Roman" w:hAnsi="Times New Roman" w:cs="Times New Roman"/>
          <w:b/>
          <w:sz w:val="24"/>
          <w:szCs w:val="24"/>
        </w:rPr>
      </w:pPr>
      <w:r>
        <w:rPr>
          <w:rFonts w:ascii="Times New Roman" w:hAnsi="Times New Roman" w:cs="Times New Roman"/>
          <w:b/>
          <w:sz w:val="24"/>
          <w:szCs w:val="24"/>
        </w:rPr>
        <w:t xml:space="preserve">Excerpt from </w:t>
      </w:r>
      <w:r w:rsidR="003F66A1">
        <w:rPr>
          <w:rFonts w:ascii="Times New Roman" w:hAnsi="Times New Roman" w:cs="Times New Roman"/>
          <w:b/>
          <w:sz w:val="24"/>
          <w:szCs w:val="24"/>
        </w:rPr>
        <w:t>Proposition 1 Proposal (</w:t>
      </w:r>
      <w:proofErr w:type="spellStart"/>
      <w:r w:rsidR="003F66A1">
        <w:rPr>
          <w:rFonts w:ascii="Times New Roman" w:hAnsi="Times New Roman" w:cs="Times New Roman"/>
          <w:b/>
          <w:sz w:val="24"/>
          <w:szCs w:val="24"/>
        </w:rPr>
        <w:t>Hestir</w:t>
      </w:r>
      <w:proofErr w:type="spellEnd"/>
      <w:r w:rsidR="003F66A1">
        <w:rPr>
          <w:rFonts w:ascii="Times New Roman" w:hAnsi="Times New Roman" w:cs="Times New Roman"/>
          <w:b/>
          <w:sz w:val="24"/>
          <w:szCs w:val="24"/>
        </w:rPr>
        <w:t xml:space="preserve"> et al., 2019)</w:t>
      </w:r>
    </w:p>
    <w:p w:rsidR="005E0EAA" w:rsidRPr="00A51B08" w:rsidRDefault="005E0EAA" w:rsidP="005E0EAA">
      <w:pPr>
        <w:jc w:val="center"/>
        <w:outlineLvl w:val="0"/>
        <w:rPr>
          <w:rFonts w:ascii="Times New Roman" w:hAnsi="Times New Roman" w:cs="Times New Roman"/>
          <w:b/>
          <w:sz w:val="24"/>
          <w:szCs w:val="24"/>
        </w:rPr>
      </w:pPr>
      <w:r>
        <w:rPr>
          <w:rFonts w:ascii="Times New Roman" w:hAnsi="Times New Roman" w:cs="Times New Roman"/>
          <w:b/>
          <w:sz w:val="24"/>
          <w:szCs w:val="24"/>
        </w:rPr>
        <w:t xml:space="preserve"> </w:t>
      </w:r>
      <w:r w:rsidRPr="00A51B08">
        <w:rPr>
          <w:rFonts w:ascii="Times New Roman" w:hAnsi="Times New Roman" w:cs="Times New Roman"/>
          <w:b/>
          <w:sz w:val="24"/>
          <w:szCs w:val="24"/>
        </w:rPr>
        <w:t xml:space="preserve"> </w:t>
      </w:r>
    </w:p>
    <w:p w:rsidR="005E0EAA" w:rsidRPr="00A51B08" w:rsidRDefault="005E0EAA" w:rsidP="005E0EAA">
      <w:pPr>
        <w:jc w:val="center"/>
        <w:rPr>
          <w:rFonts w:ascii="Times New Roman" w:hAnsi="Times New Roman" w:cs="Times New Roman"/>
          <w:b/>
          <w:sz w:val="24"/>
          <w:szCs w:val="24"/>
        </w:rPr>
      </w:pPr>
      <w:r w:rsidRPr="00A51B08">
        <w:rPr>
          <w:rFonts w:ascii="Times New Roman" w:hAnsi="Times New Roman" w:cs="Times New Roman"/>
          <w:b/>
          <w:sz w:val="24"/>
          <w:szCs w:val="24"/>
        </w:rPr>
        <w:t>Optical and Mercury Specific Relationships in Delta Surface Water</w:t>
      </w:r>
    </w:p>
    <w:p w:rsidR="005E0EAA" w:rsidRPr="00A51B08" w:rsidRDefault="005E0EAA" w:rsidP="005E0EAA">
      <w:pPr>
        <w:rPr>
          <w:rFonts w:ascii="Times New Roman" w:hAnsi="Times New Roman" w:cs="Times New Roman"/>
          <w:sz w:val="24"/>
          <w:szCs w:val="24"/>
        </w:rPr>
      </w:pPr>
      <w:r w:rsidRPr="00A51B08">
        <w:rPr>
          <w:rFonts w:ascii="Times New Roman" w:hAnsi="Times New Roman" w:cs="Times New Roman"/>
          <w:sz w:val="24"/>
          <w:szCs w:val="24"/>
        </w:rPr>
        <w:t>This supplemental attachment provides a brief description of, and context for, the key predictive relationships that we plan to develop from this effort. There are three general categories of relationships to be developed:</w:t>
      </w:r>
    </w:p>
    <w:p w:rsidR="005E0EAA" w:rsidRPr="00A51B08" w:rsidRDefault="005E0EAA" w:rsidP="005E0EAA">
      <w:pPr>
        <w:pStyle w:val="ListParagraph"/>
        <w:numPr>
          <w:ilvl w:val="0"/>
          <w:numId w:val="3"/>
        </w:numPr>
        <w:rPr>
          <w:rFonts w:ascii="Times New Roman" w:hAnsi="Times New Roman" w:cs="Times New Roman"/>
          <w:sz w:val="24"/>
          <w:szCs w:val="24"/>
        </w:rPr>
      </w:pPr>
      <w:r w:rsidRPr="00A51B08">
        <w:rPr>
          <w:rFonts w:ascii="Times New Roman" w:hAnsi="Times New Roman" w:cs="Times New Roman"/>
          <w:sz w:val="24"/>
          <w:szCs w:val="24"/>
        </w:rPr>
        <w:t>The first category</w:t>
      </w:r>
      <w:r>
        <w:rPr>
          <w:rFonts w:ascii="Times New Roman" w:hAnsi="Times New Roman" w:cs="Times New Roman"/>
          <w:sz w:val="24"/>
          <w:szCs w:val="24"/>
        </w:rPr>
        <w:t xml:space="preserve"> of relationships</w:t>
      </w:r>
      <w:r w:rsidRPr="00A51B08">
        <w:rPr>
          <w:rFonts w:ascii="Times New Roman" w:hAnsi="Times New Roman" w:cs="Times New Roman"/>
          <w:sz w:val="24"/>
          <w:szCs w:val="24"/>
        </w:rPr>
        <w:t xml:space="preserve"> relate</w:t>
      </w:r>
      <w:r>
        <w:rPr>
          <w:rFonts w:ascii="Times New Roman" w:hAnsi="Times New Roman" w:cs="Times New Roman"/>
          <w:sz w:val="24"/>
          <w:szCs w:val="24"/>
        </w:rPr>
        <w:t>s</w:t>
      </w:r>
      <w:r w:rsidRPr="00A51B08">
        <w:rPr>
          <w:rFonts w:ascii="Times New Roman" w:hAnsi="Times New Roman" w:cs="Times New Roman"/>
          <w:sz w:val="24"/>
          <w:szCs w:val="24"/>
        </w:rPr>
        <w:t xml:space="preserve"> optical properties of surface-water constituents and the concentrations of those constituents. This builds on ongoing efforts currently being conducted in the Delta by a multi-agency working group that includes UCM, USGS, NASA, DWR, MWD, and two of the current proposals team members (B. Bergamaschi and E. </w:t>
      </w:r>
      <w:proofErr w:type="spellStart"/>
      <w:r w:rsidRPr="00A51B08">
        <w:rPr>
          <w:rFonts w:ascii="Times New Roman" w:hAnsi="Times New Roman" w:cs="Times New Roman"/>
          <w:sz w:val="24"/>
          <w:szCs w:val="24"/>
        </w:rPr>
        <w:t>Hestir</w:t>
      </w:r>
      <w:proofErr w:type="spellEnd"/>
      <w:r w:rsidRPr="00A51B08">
        <w:rPr>
          <w:rFonts w:ascii="Times New Roman" w:hAnsi="Times New Roman" w:cs="Times New Roman"/>
          <w:sz w:val="24"/>
          <w:szCs w:val="24"/>
        </w:rPr>
        <w:t xml:space="preserve">). We will focus on three specific water-column constituents that can be assessed both analytically and optically. First, dissolved organic carbon (DOC), and more generally dissolved organic matter (DOM), has a large number of commonly measured optical properties (e.g. specific UV absorption at 254 nm, multi-wavelength excitation-emission matrix spectra (EEMS)) (Downing et al. 2009, Hansen et al. 2016, </w:t>
      </w:r>
      <w:proofErr w:type="spellStart"/>
      <w:r w:rsidRPr="00A51B08">
        <w:rPr>
          <w:rFonts w:ascii="Times New Roman" w:hAnsi="Times New Roman" w:cs="Times New Roman"/>
          <w:sz w:val="24"/>
          <w:szCs w:val="24"/>
        </w:rPr>
        <w:t>Hestir</w:t>
      </w:r>
      <w:proofErr w:type="spellEnd"/>
      <w:r w:rsidRPr="00A51B08">
        <w:rPr>
          <w:rFonts w:ascii="Times New Roman" w:hAnsi="Times New Roman" w:cs="Times New Roman"/>
          <w:sz w:val="24"/>
          <w:szCs w:val="24"/>
        </w:rPr>
        <w:t xml:space="preserve"> et al. 2015b). Second, the physical measurements of total suspended solids (TSS) and suspended sediment concentration (SSC) have a surrogate measure as optical turbidity (</w:t>
      </w:r>
      <w:proofErr w:type="spellStart"/>
      <w:r w:rsidRPr="00A51B08">
        <w:rPr>
          <w:rFonts w:ascii="Times New Roman" w:hAnsi="Times New Roman" w:cs="Times New Roman"/>
          <w:sz w:val="24"/>
          <w:szCs w:val="24"/>
        </w:rPr>
        <w:t>Merten</w:t>
      </w:r>
      <w:proofErr w:type="spellEnd"/>
      <w:r w:rsidRPr="00A51B08">
        <w:rPr>
          <w:rFonts w:ascii="Times New Roman" w:hAnsi="Times New Roman" w:cs="Times New Roman"/>
          <w:sz w:val="24"/>
          <w:szCs w:val="24"/>
        </w:rPr>
        <w:t xml:space="preserve"> et al. 2014). Third, optical excitation/emission probes have been developed for the measurement of chlorophyll (</w:t>
      </w:r>
      <w:proofErr w:type="spellStart"/>
      <w:r w:rsidRPr="00A51B08">
        <w:rPr>
          <w:rFonts w:ascii="Times New Roman" w:hAnsi="Times New Roman" w:cs="Times New Roman"/>
          <w:sz w:val="24"/>
          <w:szCs w:val="24"/>
        </w:rPr>
        <w:t>Chla</w:t>
      </w:r>
      <w:proofErr w:type="spellEnd"/>
      <w:r w:rsidRPr="00A51B08">
        <w:rPr>
          <w:rFonts w:ascii="Times New Roman" w:hAnsi="Times New Roman" w:cs="Times New Roman"/>
          <w:sz w:val="24"/>
          <w:szCs w:val="24"/>
        </w:rPr>
        <w:t xml:space="preserve">) and blue-green algae (Bowling et al. 2016). Laboratory analysis of DOC, TSS, and </w:t>
      </w:r>
      <w:proofErr w:type="spellStart"/>
      <w:r w:rsidRPr="00A51B08">
        <w:rPr>
          <w:rFonts w:ascii="Times New Roman" w:hAnsi="Times New Roman" w:cs="Times New Roman"/>
          <w:sz w:val="24"/>
          <w:szCs w:val="24"/>
        </w:rPr>
        <w:t>Chla</w:t>
      </w:r>
      <w:proofErr w:type="spellEnd"/>
      <w:r w:rsidRPr="00A51B08">
        <w:rPr>
          <w:rFonts w:ascii="Times New Roman" w:hAnsi="Times New Roman" w:cs="Times New Roman"/>
          <w:sz w:val="24"/>
          <w:szCs w:val="24"/>
        </w:rPr>
        <w:t xml:space="preserve"> concentrations, along with their respective optical properties, will be measured on all water samples (n=376) collected in the proposed work. These data will be used to establish non-Hg optical relationships across the wide range of water-quality concentration gradients that are anticipated to be encountered. </w:t>
      </w:r>
    </w:p>
    <w:p w:rsidR="005E0EAA" w:rsidRPr="00A51B08" w:rsidRDefault="005E0EAA" w:rsidP="005E0EAA">
      <w:pPr>
        <w:pStyle w:val="ListParagraph"/>
        <w:rPr>
          <w:rFonts w:ascii="Times New Roman" w:hAnsi="Times New Roman" w:cs="Times New Roman"/>
          <w:sz w:val="24"/>
          <w:szCs w:val="24"/>
        </w:rPr>
      </w:pPr>
    </w:p>
    <w:p w:rsidR="005E0EAA" w:rsidRPr="00A51B08" w:rsidRDefault="005E0EAA" w:rsidP="005E0EAA">
      <w:pPr>
        <w:pStyle w:val="ListParagraph"/>
        <w:numPr>
          <w:ilvl w:val="0"/>
          <w:numId w:val="3"/>
        </w:numPr>
        <w:rPr>
          <w:rFonts w:ascii="Times New Roman" w:hAnsi="Times New Roman" w:cs="Times New Roman"/>
          <w:sz w:val="24"/>
          <w:szCs w:val="24"/>
        </w:rPr>
      </w:pPr>
      <w:r w:rsidRPr="00A51B08">
        <w:rPr>
          <w:rFonts w:ascii="Times New Roman" w:hAnsi="Times New Roman" w:cs="Times New Roman"/>
          <w:sz w:val="24"/>
          <w:szCs w:val="24"/>
        </w:rPr>
        <w:t>The second category of relationships are those between the remote-sensing (RS) water-leaving reflectance and the in-water optical measurements. This includes relating water optical measurements to water-leaving RS reflectance collected just above the surface using hand-held and ship-deployed high spectral resolution point-based spectrometers, and satellite-based RS reflectance imagery. This also builds on the above-mentioned ongoing efforts currently being conducted in the Delta by the same multi-agency working group described above. The suite of algorithms developed will incorporate atmospheric correction using the infrared bands as described in (</w:t>
      </w:r>
      <w:proofErr w:type="spellStart"/>
      <w:r w:rsidRPr="00A51B08">
        <w:rPr>
          <w:rFonts w:ascii="Times New Roman" w:hAnsi="Times New Roman" w:cs="Times New Roman"/>
          <w:sz w:val="24"/>
          <w:szCs w:val="24"/>
        </w:rPr>
        <w:t>Vanhellemont</w:t>
      </w:r>
      <w:proofErr w:type="spellEnd"/>
      <w:r w:rsidRPr="00A51B08">
        <w:rPr>
          <w:rFonts w:ascii="Times New Roman" w:hAnsi="Times New Roman" w:cs="Times New Roman"/>
          <w:sz w:val="24"/>
          <w:szCs w:val="24"/>
        </w:rPr>
        <w:t xml:space="preserve"> &amp; Ruddick 2015) and with products generated using either the regionally tuned Quasi-Analytical Algorithm (QAA) (Lee et al. 2002), or semi-analytical retrievals for turbid water (</w:t>
      </w:r>
      <w:proofErr w:type="spellStart"/>
      <w:r w:rsidRPr="00A51B08">
        <w:rPr>
          <w:rFonts w:ascii="Times New Roman" w:hAnsi="Times New Roman" w:cs="Times New Roman"/>
          <w:sz w:val="24"/>
          <w:szCs w:val="24"/>
        </w:rPr>
        <w:t>Lymburner</w:t>
      </w:r>
      <w:proofErr w:type="spellEnd"/>
      <w:r w:rsidRPr="00A51B08">
        <w:rPr>
          <w:rFonts w:ascii="Times New Roman" w:hAnsi="Times New Roman" w:cs="Times New Roman"/>
          <w:sz w:val="24"/>
          <w:szCs w:val="24"/>
        </w:rPr>
        <w:t xml:space="preserve"> et al. 2016, </w:t>
      </w:r>
      <w:proofErr w:type="spellStart"/>
      <w:r>
        <w:rPr>
          <w:rFonts w:ascii="Times New Roman" w:hAnsi="Times New Roman" w:cs="Times New Roman"/>
          <w:sz w:val="24"/>
          <w:szCs w:val="24"/>
        </w:rPr>
        <w:t>Vanhellemont</w:t>
      </w:r>
      <w:proofErr w:type="spellEnd"/>
      <w:r>
        <w:rPr>
          <w:rFonts w:ascii="Times New Roman" w:hAnsi="Times New Roman" w:cs="Times New Roman"/>
          <w:sz w:val="24"/>
          <w:szCs w:val="24"/>
        </w:rPr>
        <w:t xml:space="preserve"> and</w:t>
      </w:r>
      <w:r w:rsidRPr="00A51B08">
        <w:rPr>
          <w:rFonts w:ascii="Times New Roman" w:hAnsi="Times New Roman" w:cs="Times New Roman"/>
          <w:sz w:val="24"/>
          <w:szCs w:val="24"/>
        </w:rPr>
        <w:t xml:space="preserve"> Ruddick 2014).</w:t>
      </w:r>
    </w:p>
    <w:p w:rsidR="005E0EAA" w:rsidRPr="00A51B08" w:rsidRDefault="005E0EAA" w:rsidP="005E0EAA">
      <w:pPr>
        <w:pStyle w:val="ListParagraph"/>
        <w:rPr>
          <w:rFonts w:ascii="Times New Roman" w:hAnsi="Times New Roman" w:cs="Times New Roman"/>
          <w:sz w:val="24"/>
          <w:szCs w:val="24"/>
        </w:rPr>
      </w:pPr>
    </w:p>
    <w:p w:rsidR="005E0EAA" w:rsidRPr="00A51B08" w:rsidRDefault="005E0EAA" w:rsidP="005E0EAA">
      <w:pPr>
        <w:pStyle w:val="ListParagraph"/>
        <w:numPr>
          <w:ilvl w:val="0"/>
          <w:numId w:val="3"/>
        </w:numPr>
        <w:rPr>
          <w:rFonts w:ascii="Times New Roman" w:hAnsi="Times New Roman" w:cs="Times New Roman"/>
          <w:sz w:val="24"/>
          <w:szCs w:val="24"/>
        </w:rPr>
      </w:pPr>
      <w:r w:rsidRPr="00A51B08">
        <w:rPr>
          <w:rFonts w:ascii="Times New Roman" w:hAnsi="Times New Roman" w:cs="Times New Roman"/>
          <w:sz w:val="24"/>
          <w:szCs w:val="24"/>
        </w:rPr>
        <w:t xml:space="preserve">The third general category of relationships are those between Hg and non-Hg constituents. The four specific Hg species on which we will focus are: particulate total </w:t>
      </w:r>
      <w:r w:rsidRPr="00A51B08">
        <w:rPr>
          <w:rFonts w:ascii="Times New Roman" w:hAnsi="Times New Roman" w:cs="Times New Roman"/>
          <w:sz w:val="24"/>
          <w:szCs w:val="24"/>
        </w:rPr>
        <w:lastRenderedPageBreak/>
        <w:t>mercury (</w:t>
      </w:r>
      <w:proofErr w:type="spellStart"/>
      <w:r w:rsidRPr="00A51B08">
        <w:rPr>
          <w:rFonts w:ascii="Times New Roman" w:hAnsi="Times New Roman" w:cs="Times New Roman"/>
          <w:sz w:val="24"/>
          <w:szCs w:val="24"/>
        </w:rPr>
        <w:t>p.THg</w:t>
      </w:r>
      <w:proofErr w:type="spellEnd"/>
      <w:r w:rsidRPr="00A51B08">
        <w:rPr>
          <w:rFonts w:ascii="Times New Roman" w:hAnsi="Times New Roman" w:cs="Times New Roman"/>
          <w:sz w:val="24"/>
          <w:szCs w:val="24"/>
        </w:rPr>
        <w:t>), particulate methylmercury (</w:t>
      </w:r>
      <w:proofErr w:type="spellStart"/>
      <w:r w:rsidRPr="00A51B08">
        <w:rPr>
          <w:rFonts w:ascii="Times New Roman" w:hAnsi="Times New Roman" w:cs="Times New Roman"/>
          <w:sz w:val="24"/>
          <w:szCs w:val="24"/>
        </w:rPr>
        <w:t>p.MeHg</w:t>
      </w:r>
      <w:proofErr w:type="spellEnd"/>
      <w:r w:rsidRPr="00A51B08">
        <w:rPr>
          <w:rFonts w:ascii="Times New Roman" w:hAnsi="Times New Roman" w:cs="Times New Roman"/>
          <w:sz w:val="24"/>
          <w:szCs w:val="24"/>
        </w:rPr>
        <w:t>), dissolved or filter-passing total mercury (</w:t>
      </w:r>
      <w:proofErr w:type="spellStart"/>
      <w:r w:rsidRPr="00A51B08">
        <w:rPr>
          <w:rFonts w:ascii="Times New Roman" w:hAnsi="Times New Roman" w:cs="Times New Roman"/>
          <w:sz w:val="24"/>
          <w:szCs w:val="24"/>
        </w:rPr>
        <w:t>f.THg</w:t>
      </w:r>
      <w:proofErr w:type="spellEnd"/>
      <w:r w:rsidRPr="00A51B08">
        <w:rPr>
          <w:rFonts w:ascii="Times New Roman" w:hAnsi="Times New Roman" w:cs="Times New Roman"/>
          <w:sz w:val="24"/>
          <w:szCs w:val="24"/>
        </w:rPr>
        <w:t>), and filter-passing methylmercury (</w:t>
      </w:r>
      <w:proofErr w:type="spellStart"/>
      <w:r w:rsidRPr="00A51B08">
        <w:rPr>
          <w:rFonts w:ascii="Times New Roman" w:hAnsi="Times New Roman" w:cs="Times New Roman"/>
          <w:sz w:val="24"/>
          <w:szCs w:val="24"/>
        </w:rPr>
        <w:t>f.MeHg</w:t>
      </w:r>
      <w:proofErr w:type="spellEnd"/>
      <w:r w:rsidRPr="00A51B08">
        <w:rPr>
          <w:rFonts w:ascii="Times New Roman" w:hAnsi="Times New Roman" w:cs="Times New Roman"/>
          <w:sz w:val="24"/>
          <w:szCs w:val="24"/>
        </w:rPr>
        <w:t>). In developing these relationships, both the primary analytical concentration data and the associated optical proxy data for the non-Hg constituents will be explored. We will focus on four primary Hg versus non-Hg relationships:</w:t>
      </w:r>
    </w:p>
    <w:p w:rsidR="005E0EAA" w:rsidRPr="00A51B08" w:rsidRDefault="005E0EAA" w:rsidP="005E0EAA">
      <w:pPr>
        <w:pStyle w:val="ListParagraph"/>
        <w:numPr>
          <w:ilvl w:val="0"/>
          <w:numId w:val="2"/>
        </w:numPr>
        <w:rPr>
          <w:rFonts w:ascii="Times New Roman" w:hAnsi="Times New Roman" w:cs="Times New Roman"/>
          <w:sz w:val="24"/>
          <w:szCs w:val="24"/>
        </w:rPr>
      </w:pPr>
      <w:proofErr w:type="spellStart"/>
      <w:r w:rsidRPr="00A51B08">
        <w:rPr>
          <w:rFonts w:ascii="Times New Roman" w:hAnsi="Times New Roman" w:cs="Times New Roman"/>
          <w:sz w:val="24"/>
          <w:szCs w:val="24"/>
        </w:rPr>
        <w:t>f.MeHg</w:t>
      </w:r>
      <w:proofErr w:type="spellEnd"/>
      <w:r w:rsidRPr="00A51B08">
        <w:rPr>
          <w:rFonts w:ascii="Times New Roman" w:hAnsi="Times New Roman" w:cs="Times New Roman"/>
          <w:sz w:val="24"/>
          <w:szCs w:val="24"/>
        </w:rPr>
        <w:t xml:space="preserve"> vs. DOC (and DOM optical properties)</w:t>
      </w:r>
    </w:p>
    <w:p w:rsidR="005E0EAA" w:rsidRPr="00A51B08" w:rsidRDefault="005E0EAA" w:rsidP="005E0EAA">
      <w:pPr>
        <w:pStyle w:val="ListParagraph"/>
        <w:numPr>
          <w:ilvl w:val="0"/>
          <w:numId w:val="2"/>
        </w:numPr>
        <w:rPr>
          <w:rFonts w:ascii="Times New Roman" w:hAnsi="Times New Roman" w:cs="Times New Roman"/>
          <w:sz w:val="24"/>
          <w:szCs w:val="24"/>
        </w:rPr>
      </w:pPr>
      <w:proofErr w:type="spellStart"/>
      <w:r w:rsidRPr="00A51B08">
        <w:rPr>
          <w:rFonts w:ascii="Times New Roman" w:hAnsi="Times New Roman" w:cs="Times New Roman"/>
          <w:sz w:val="24"/>
          <w:szCs w:val="24"/>
        </w:rPr>
        <w:t>p.MeHg</w:t>
      </w:r>
      <w:proofErr w:type="spellEnd"/>
      <w:r w:rsidRPr="00A51B08">
        <w:rPr>
          <w:rFonts w:ascii="Times New Roman" w:hAnsi="Times New Roman" w:cs="Times New Roman"/>
          <w:sz w:val="24"/>
          <w:szCs w:val="24"/>
        </w:rPr>
        <w:t xml:space="preserve"> vs. TSS (and optical turbidity)</w:t>
      </w:r>
    </w:p>
    <w:p w:rsidR="005E0EAA" w:rsidRPr="00A51B08" w:rsidRDefault="005E0EAA" w:rsidP="005E0EAA">
      <w:pPr>
        <w:pStyle w:val="ListParagraph"/>
        <w:numPr>
          <w:ilvl w:val="0"/>
          <w:numId w:val="2"/>
        </w:numPr>
        <w:rPr>
          <w:rFonts w:ascii="Times New Roman" w:hAnsi="Times New Roman" w:cs="Times New Roman"/>
          <w:sz w:val="24"/>
          <w:szCs w:val="24"/>
        </w:rPr>
      </w:pPr>
      <w:proofErr w:type="spellStart"/>
      <w:r w:rsidRPr="00A51B08">
        <w:rPr>
          <w:rFonts w:ascii="Times New Roman" w:hAnsi="Times New Roman" w:cs="Times New Roman"/>
          <w:sz w:val="24"/>
          <w:szCs w:val="24"/>
        </w:rPr>
        <w:t>f.THg</w:t>
      </w:r>
      <w:proofErr w:type="spellEnd"/>
      <w:r w:rsidRPr="00A51B08">
        <w:rPr>
          <w:rFonts w:ascii="Times New Roman" w:hAnsi="Times New Roman" w:cs="Times New Roman"/>
          <w:sz w:val="24"/>
          <w:szCs w:val="24"/>
        </w:rPr>
        <w:t xml:space="preserve"> vs. DOM (and DOM optical properties)</w:t>
      </w:r>
    </w:p>
    <w:p w:rsidR="005E0EAA" w:rsidRPr="00A51B08" w:rsidRDefault="005E0EAA" w:rsidP="005E0EAA">
      <w:pPr>
        <w:pStyle w:val="ListParagraph"/>
        <w:numPr>
          <w:ilvl w:val="0"/>
          <w:numId w:val="2"/>
        </w:numPr>
        <w:rPr>
          <w:rFonts w:ascii="Times New Roman" w:hAnsi="Times New Roman" w:cs="Times New Roman"/>
          <w:sz w:val="24"/>
          <w:szCs w:val="24"/>
        </w:rPr>
      </w:pPr>
      <w:proofErr w:type="spellStart"/>
      <w:r w:rsidRPr="00A51B08">
        <w:rPr>
          <w:rFonts w:ascii="Times New Roman" w:hAnsi="Times New Roman" w:cs="Times New Roman"/>
          <w:sz w:val="24"/>
          <w:szCs w:val="24"/>
        </w:rPr>
        <w:t>p.THg</w:t>
      </w:r>
      <w:proofErr w:type="spellEnd"/>
      <w:r w:rsidRPr="00A51B08">
        <w:rPr>
          <w:rFonts w:ascii="Times New Roman" w:hAnsi="Times New Roman" w:cs="Times New Roman"/>
          <w:sz w:val="24"/>
          <w:szCs w:val="24"/>
        </w:rPr>
        <w:t xml:space="preserve"> vs. TSS (and optical turbidity)</w:t>
      </w:r>
    </w:p>
    <w:p w:rsidR="005E0EAA" w:rsidRPr="00A51B08" w:rsidRDefault="005E0EAA" w:rsidP="005E0EAA">
      <w:pPr>
        <w:ind w:left="720"/>
        <w:rPr>
          <w:rFonts w:ascii="Times New Roman" w:hAnsi="Times New Roman" w:cs="Times New Roman"/>
          <w:sz w:val="24"/>
          <w:szCs w:val="24"/>
        </w:rPr>
      </w:pPr>
      <w:r w:rsidRPr="00A51B08">
        <w:rPr>
          <w:rFonts w:ascii="Times New Roman" w:hAnsi="Times New Roman" w:cs="Times New Roman"/>
          <w:sz w:val="24"/>
          <w:szCs w:val="24"/>
        </w:rPr>
        <w:t xml:space="preserve">In addition to the above four Hg metrics, a number of other Hg metrics can be calculated and could be examined with respect to the three non-Hg metrics (DOC, TSS, and </w:t>
      </w:r>
      <w:proofErr w:type="spellStart"/>
      <w:r w:rsidRPr="00A51B08">
        <w:rPr>
          <w:rFonts w:ascii="Times New Roman" w:hAnsi="Times New Roman" w:cs="Times New Roman"/>
          <w:sz w:val="24"/>
          <w:szCs w:val="24"/>
        </w:rPr>
        <w:t>Chla</w:t>
      </w:r>
      <w:proofErr w:type="spellEnd"/>
      <w:r w:rsidRPr="00A51B08">
        <w:rPr>
          <w:rFonts w:ascii="Times New Roman" w:hAnsi="Times New Roman" w:cs="Times New Roman"/>
          <w:sz w:val="24"/>
          <w:szCs w:val="24"/>
        </w:rPr>
        <w:t xml:space="preserve">). These </w:t>
      </w:r>
      <w:proofErr w:type="gramStart"/>
      <w:r w:rsidRPr="00A51B08">
        <w:rPr>
          <w:rFonts w:ascii="Times New Roman" w:hAnsi="Times New Roman" w:cs="Times New Roman"/>
          <w:sz w:val="24"/>
          <w:szCs w:val="24"/>
        </w:rPr>
        <w:t>include:</w:t>
      </w:r>
      <w:proofErr w:type="gramEnd"/>
      <w:r w:rsidRPr="00A51B08">
        <w:rPr>
          <w:rFonts w:ascii="Times New Roman" w:hAnsi="Times New Roman" w:cs="Times New Roman"/>
          <w:sz w:val="24"/>
          <w:szCs w:val="24"/>
        </w:rPr>
        <w:t xml:space="preserve"> percent filter passing methylmercury (%</w:t>
      </w:r>
      <w:proofErr w:type="spellStart"/>
      <w:r w:rsidRPr="00A51B08">
        <w:rPr>
          <w:rFonts w:ascii="Times New Roman" w:hAnsi="Times New Roman" w:cs="Times New Roman"/>
          <w:sz w:val="24"/>
          <w:szCs w:val="24"/>
        </w:rPr>
        <w:t>f.MeHg</w:t>
      </w:r>
      <w:proofErr w:type="spellEnd"/>
      <w:r w:rsidRPr="00A51B08">
        <w:rPr>
          <w:rFonts w:ascii="Times New Roman" w:hAnsi="Times New Roman" w:cs="Times New Roman"/>
          <w:sz w:val="24"/>
          <w:szCs w:val="24"/>
        </w:rPr>
        <w:t>), percent particulate methylmercury (%</w:t>
      </w:r>
      <w:proofErr w:type="spellStart"/>
      <w:r w:rsidRPr="00A51B08">
        <w:rPr>
          <w:rFonts w:ascii="Times New Roman" w:hAnsi="Times New Roman" w:cs="Times New Roman"/>
          <w:sz w:val="24"/>
          <w:szCs w:val="24"/>
        </w:rPr>
        <w:t>p.MeHg</w:t>
      </w:r>
      <w:proofErr w:type="spellEnd"/>
      <w:r w:rsidRPr="00A51B08">
        <w:rPr>
          <w:rFonts w:ascii="Times New Roman" w:hAnsi="Times New Roman" w:cs="Times New Roman"/>
          <w:sz w:val="24"/>
          <w:szCs w:val="24"/>
        </w:rPr>
        <w:t>), and the aqueous/solid phase partitioning coefficients (</w:t>
      </w:r>
      <w:proofErr w:type="spellStart"/>
      <w:r w:rsidRPr="00A51B08">
        <w:rPr>
          <w:rFonts w:ascii="Times New Roman" w:hAnsi="Times New Roman" w:cs="Times New Roman"/>
          <w:sz w:val="24"/>
          <w:szCs w:val="24"/>
        </w:rPr>
        <w:t>Kd</w:t>
      </w:r>
      <w:proofErr w:type="spellEnd"/>
      <w:r w:rsidRPr="00A51B08">
        <w:rPr>
          <w:rFonts w:ascii="Times New Roman" w:hAnsi="Times New Roman" w:cs="Times New Roman"/>
          <w:sz w:val="24"/>
          <w:szCs w:val="24"/>
        </w:rPr>
        <w:t>) for both total mercury (</w:t>
      </w:r>
      <w:proofErr w:type="spellStart"/>
      <w:r w:rsidRPr="00A51B08">
        <w:rPr>
          <w:rFonts w:ascii="Times New Roman" w:hAnsi="Times New Roman" w:cs="Times New Roman"/>
          <w:sz w:val="24"/>
          <w:szCs w:val="24"/>
        </w:rPr>
        <w:t>Kd</w:t>
      </w:r>
      <w:proofErr w:type="spellEnd"/>
      <w:r w:rsidRPr="00A51B08">
        <w:rPr>
          <w:rFonts w:ascii="Times New Roman" w:hAnsi="Times New Roman" w:cs="Times New Roman"/>
          <w:sz w:val="24"/>
          <w:szCs w:val="24"/>
        </w:rPr>
        <w:t>[</w:t>
      </w:r>
      <w:proofErr w:type="spellStart"/>
      <w:r w:rsidRPr="00A51B08">
        <w:rPr>
          <w:rFonts w:ascii="Times New Roman" w:hAnsi="Times New Roman" w:cs="Times New Roman"/>
          <w:sz w:val="24"/>
          <w:szCs w:val="24"/>
        </w:rPr>
        <w:t>THg</w:t>
      </w:r>
      <w:proofErr w:type="spellEnd"/>
      <w:r w:rsidRPr="00A51B08">
        <w:rPr>
          <w:rFonts w:ascii="Times New Roman" w:hAnsi="Times New Roman" w:cs="Times New Roman"/>
          <w:sz w:val="24"/>
          <w:szCs w:val="24"/>
        </w:rPr>
        <w:t>]) and methylmercury (</w:t>
      </w:r>
      <w:proofErr w:type="spellStart"/>
      <w:r w:rsidRPr="00A51B08">
        <w:rPr>
          <w:rFonts w:ascii="Times New Roman" w:hAnsi="Times New Roman" w:cs="Times New Roman"/>
          <w:sz w:val="24"/>
          <w:szCs w:val="24"/>
        </w:rPr>
        <w:t>Kd</w:t>
      </w:r>
      <w:proofErr w:type="spellEnd"/>
      <w:r w:rsidRPr="00A51B08">
        <w:rPr>
          <w:rFonts w:ascii="Times New Roman" w:hAnsi="Times New Roman" w:cs="Times New Roman"/>
          <w:sz w:val="24"/>
          <w:szCs w:val="24"/>
        </w:rPr>
        <w:t>[</w:t>
      </w:r>
      <w:proofErr w:type="spellStart"/>
      <w:r w:rsidRPr="00A51B08">
        <w:rPr>
          <w:rFonts w:ascii="Times New Roman" w:hAnsi="Times New Roman" w:cs="Times New Roman"/>
          <w:sz w:val="24"/>
          <w:szCs w:val="24"/>
        </w:rPr>
        <w:t>MeHg</w:t>
      </w:r>
      <w:proofErr w:type="spellEnd"/>
      <w:r w:rsidRPr="00A51B08">
        <w:rPr>
          <w:rFonts w:ascii="Times New Roman" w:hAnsi="Times New Roman" w:cs="Times New Roman"/>
          <w:sz w:val="24"/>
          <w:szCs w:val="24"/>
        </w:rPr>
        <w:t>]).</w:t>
      </w:r>
    </w:p>
    <w:p w:rsidR="005E0EAA" w:rsidRPr="00A51B08" w:rsidRDefault="005E0EAA" w:rsidP="005E0EAA">
      <w:pPr>
        <w:outlineLvl w:val="0"/>
        <w:rPr>
          <w:rFonts w:ascii="Times New Roman" w:hAnsi="Times New Roman" w:cs="Times New Roman"/>
          <w:b/>
          <w:sz w:val="24"/>
          <w:szCs w:val="24"/>
        </w:rPr>
      </w:pPr>
      <w:r w:rsidRPr="00A51B08">
        <w:rPr>
          <w:rFonts w:ascii="Times New Roman" w:hAnsi="Times New Roman" w:cs="Times New Roman"/>
          <w:b/>
          <w:sz w:val="24"/>
          <w:szCs w:val="24"/>
        </w:rPr>
        <w:t>Hg Relationships with Dissolved Organic Carbon</w:t>
      </w:r>
    </w:p>
    <w:p w:rsidR="005E0EAA" w:rsidRPr="00A51B08" w:rsidRDefault="005E0EAA" w:rsidP="005E0EAA">
      <w:pPr>
        <w:rPr>
          <w:rFonts w:ascii="Times New Roman" w:hAnsi="Times New Roman" w:cs="Times New Roman"/>
          <w:sz w:val="24"/>
          <w:szCs w:val="24"/>
        </w:rPr>
      </w:pPr>
      <w:r w:rsidRPr="00A51B08">
        <w:rPr>
          <w:rFonts w:ascii="Times New Roman" w:hAnsi="Times New Roman" w:cs="Times New Roman"/>
          <w:sz w:val="24"/>
          <w:szCs w:val="24"/>
        </w:rPr>
        <w:t xml:space="preserve">Because </w:t>
      </w:r>
      <w:proofErr w:type="spellStart"/>
      <w:r w:rsidRPr="00A51B08">
        <w:rPr>
          <w:rFonts w:ascii="Times New Roman" w:hAnsi="Times New Roman" w:cs="Times New Roman"/>
          <w:sz w:val="24"/>
          <w:szCs w:val="24"/>
        </w:rPr>
        <w:t>MeHg</w:t>
      </w:r>
      <w:proofErr w:type="spellEnd"/>
      <w:r w:rsidRPr="00A51B08">
        <w:rPr>
          <w:rFonts w:ascii="Times New Roman" w:hAnsi="Times New Roman" w:cs="Times New Roman"/>
          <w:sz w:val="24"/>
          <w:szCs w:val="24"/>
        </w:rPr>
        <w:t xml:space="preserve"> enters the base of the aquatic food web through the active and passive uptake from water (dissolved phase) into phytoplankton (</w:t>
      </w:r>
      <w:r>
        <w:rPr>
          <w:rFonts w:ascii="Times New Roman" w:hAnsi="Times New Roman" w:cs="Times New Roman"/>
          <w:sz w:val="24"/>
          <w:szCs w:val="24"/>
        </w:rPr>
        <w:t>Mason et al. 1996,</w:t>
      </w:r>
      <w:r w:rsidRPr="00A51B08">
        <w:rPr>
          <w:rFonts w:ascii="Times New Roman" w:hAnsi="Times New Roman" w:cs="Times New Roman"/>
          <w:sz w:val="24"/>
          <w:szCs w:val="24"/>
        </w:rPr>
        <w:t xml:space="preserve"> </w:t>
      </w:r>
      <w:proofErr w:type="spellStart"/>
      <w:r w:rsidRPr="00A51B08">
        <w:rPr>
          <w:rFonts w:ascii="Times New Roman" w:hAnsi="Times New Roman" w:cs="Times New Roman"/>
          <w:sz w:val="24"/>
          <w:szCs w:val="24"/>
        </w:rPr>
        <w:t>Moye</w:t>
      </w:r>
      <w:proofErr w:type="spellEnd"/>
      <w:r w:rsidRPr="00A51B08">
        <w:rPr>
          <w:rFonts w:ascii="Times New Roman" w:hAnsi="Times New Roman" w:cs="Times New Roman"/>
          <w:sz w:val="24"/>
          <w:szCs w:val="24"/>
        </w:rPr>
        <w:t xml:space="preserve"> et al. 2002), </w:t>
      </w:r>
      <w:proofErr w:type="spellStart"/>
      <w:r w:rsidRPr="00A51B08">
        <w:rPr>
          <w:rFonts w:ascii="Times New Roman" w:hAnsi="Times New Roman" w:cs="Times New Roman"/>
          <w:sz w:val="24"/>
          <w:szCs w:val="24"/>
        </w:rPr>
        <w:t>f.MeHg</w:t>
      </w:r>
      <w:proofErr w:type="spellEnd"/>
      <w:r w:rsidRPr="00A51B08">
        <w:rPr>
          <w:rFonts w:ascii="Times New Roman" w:hAnsi="Times New Roman" w:cs="Times New Roman"/>
          <w:sz w:val="24"/>
          <w:szCs w:val="24"/>
        </w:rPr>
        <w:t xml:space="preserve"> concentration in surface water of the Delta is of particular interest. Thus, of the four key Hg relationships above, the most important may be that between </w:t>
      </w:r>
      <w:proofErr w:type="spellStart"/>
      <w:r w:rsidRPr="00A51B08">
        <w:rPr>
          <w:rFonts w:ascii="Times New Roman" w:hAnsi="Times New Roman" w:cs="Times New Roman"/>
          <w:sz w:val="24"/>
          <w:szCs w:val="24"/>
        </w:rPr>
        <w:t>f.MeHg</w:t>
      </w:r>
      <w:proofErr w:type="spellEnd"/>
      <w:r w:rsidRPr="00A51B08">
        <w:rPr>
          <w:rFonts w:ascii="Times New Roman" w:hAnsi="Times New Roman" w:cs="Times New Roman"/>
          <w:sz w:val="24"/>
          <w:szCs w:val="24"/>
        </w:rPr>
        <w:t xml:space="preserve"> and DOC (and associated DOM optical properties). This relationship was used to develop the first and only high-resolution spatial image of surface water </w:t>
      </w:r>
      <w:proofErr w:type="spellStart"/>
      <w:r w:rsidRPr="00A51B08">
        <w:rPr>
          <w:rFonts w:ascii="Times New Roman" w:hAnsi="Times New Roman" w:cs="Times New Roman"/>
          <w:sz w:val="24"/>
          <w:szCs w:val="24"/>
        </w:rPr>
        <w:t>f.MeHg</w:t>
      </w:r>
      <w:proofErr w:type="spellEnd"/>
      <w:r w:rsidRPr="00A51B08">
        <w:rPr>
          <w:rFonts w:ascii="Times New Roman" w:hAnsi="Times New Roman" w:cs="Times New Roman"/>
          <w:sz w:val="24"/>
          <w:szCs w:val="24"/>
        </w:rPr>
        <w:t xml:space="preserve"> concentration from airborne RS imagery in a previous study conducted in Suisun Marsh / Grizzly Bay (</w:t>
      </w:r>
      <w:proofErr w:type="spellStart"/>
      <w:r w:rsidRPr="00A51B08">
        <w:rPr>
          <w:rFonts w:ascii="Times New Roman" w:hAnsi="Times New Roman" w:cs="Times New Roman"/>
          <w:sz w:val="24"/>
          <w:szCs w:val="24"/>
        </w:rPr>
        <w:t>Fichot</w:t>
      </w:r>
      <w:proofErr w:type="spellEnd"/>
      <w:r w:rsidRPr="00A51B08">
        <w:rPr>
          <w:rFonts w:ascii="Times New Roman" w:hAnsi="Times New Roman" w:cs="Times New Roman"/>
          <w:sz w:val="24"/>
          <w:szCs w:val="24"/>
        </w:rPr>
        <w:t xml:space="preserve"> et al. 2016), which included a number of co-authors on the current proposal (</w:t>
      </w:r>
      <w:r w:rsidRPr="00A51B08">
        <w:rPr>
          <w:rFonts w:ascii="Times New Roman" w:hAnsi="Times New Roman" w:cs="Times New Roman"/>
          <w:b/>
          <w:sz w:val="24"/>
          <w:szCs w:val="24"/>
        </w:rPr>
        <w:t>Figs. 1 and 2</w:t>
      </w:r>
      <w:r w:rsidRPr="00A51B08">
        <w:rPr>
          <w:rFonts w:ascii="Times New Roman" w:hAnsi="Times New Roman" w:cs="Times New Roman"/>
          <w:sz w:val="24"/>
          <w:szCs w:val="24"/>
        </w:rPr>
        <w:t>).</w:t>
      </w:r>
    </w:p>
    <w:p w:rsidR="005E0EAA" w:rsidRPr="00A51B08" w:rsidRDefault="005E0EAA" w:rsidP="005E0EAA">
      <w:pPr>
        <w:rPr>
          <w:rFonts w:ascii="Times New Roman" w:hAnsi="Times New Roman" w:cs="Times New Roman"/>
          <w:sz w:val="24"/>
          <w:szCs w:val="24"/>
        </w:rPr>
      </w:pPr>
      <w:r w:rsidRPr="00A51B08">
        <w:rPr>
          <w:rFonts w:ascii="Times New Roman" w:hAnsi="Times New Roman" w:cs="Times New Roman"/>
          <w:sz w:val="24"/>
          <w:szCs w:val="24"/>
        </w:rPr>
        <w:t xml:space="preserve"> </w:t>
      </w:r>
    </w:p>
    <w:p w:rsidR="005E0EAA" w:rsidRPr="00A51B08" w:rsidRDefault="005E0EAA" w:rsidP="005E0EAA">
      <w:pPr>
        <w:rPr>
          <w:rFonts w:ascii="Times New Roman" w:hAnsi="Times New Roman" w:cs="Times New Roman"/>
          <w:sz w:val="24"/>
          <w:szCs w:val="24"/>
        </w:rPr>
      </w:pPr>
      <w:r w:rsidRPr="00A51B08">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712034A9" wp14:editId="7B912982">
            <wp:simplePos x="0" y="0"/>
            <wp:positionH relativeFrom="column">
              <wp:posOffset>0</wp:posOffset>
            </wp:positionH>
            <wp:positionV relativeFrom="paragraph">
              <wp:posOffset>2918</wp:posOffset>
            </wp:positionV>
            <wp:extent cx="3383280" cy="3213854"/>
            <wp:effectExtent l="0" t="0" r="7620" b="5715"/>
            <wp:wrapSquare wrapText="bothSides"/>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rotWithShape="1">
                    <a:blip r:embed="rId8">
                      <a:extLst>
                        <a:ext uri="{28A0092B-C50C-407E-A947-70E740481C1C}">
                          <a14:useLocalDpi xmlns:a14="http://schemas.microsoft.com/office/drawing/2010/main" val="0"/>
                        </a:ext>
                      </a:extLst>
                    </a:blip>
                    <a:srcRect t="4278"/>
                    <a:stretch/>
                  </pic:blipFill>
                  <pic:spPr>
                    <a:xfrm>
                      <a:off x="0" y="0"/>
                      <a:ext cx="3383280" cy="3213854"/>
                    </a:xfrm>
                    <a:prstGeom prst="rect">
                      <a:avLst/>
                    </a:prstGeom>
                  </pic:spPr>
                </pic:pic>
              </a:graphicData>
            </a:graphic>
          </wp:anchor>
        </w:drawing>
      </w:r>
    </w:p>
    <w:p w:rsidR="005E0EAA" w:rsidRPr="00A51B08" w:rsidRDefault="005E0EAA" w:rsidP="005E0EAA">
      <w:pPr>
        <w:rPr>
          <w:rFonts w:ascii="Times New Roman" w:hAnsi="Times New Roman" w:cs="Times New Roman"/>
          <w:sz w:val="24"/>
          <w:szCs w:val="24"/>
        </w:rPr>
      </w:pPr>
      <w:r w:rsidRPr="00A51B08">
        <w:rPr>
          <w:rFonts w:ascii="Times New Roman" w:hAnsi="Times New Roman" w:cs="Times New Roman"/>
          <w:b/>
          <w:sz w:val="24"/>
          <w:szCs w:val="24"/>
        </w:rPr>
        <w:t>Figure 1.</w:t>
      </w:r>
      <w:r w:rsidRPr="00A51B08">
        <w:rPr>
          <w:rFonts w:ascii="Times New Roman" w:hAnsi="Times New Roman" w:cs="Times New Roman"/>
          <w:sz w:val="24"/>
          <w:szCs w:val="24"/>
        </w:rPr>
        <w:t xml:space="preserve"> The relationship between filter-passing </w:t>
      </w:r>
      <w:proofErr w:type="spellStart"/>
      <w:r w:rsidRPr="00A51B08">
        <w:rPr>
          <w:rFonts w:ascii="Times New Roman" w:hAnsi="Times New Roman" w:cs="Times New Roman"/>
          <w:sz w:val="24"/>
          <w:szCs w:val="24"/>
        </w:rPr>
        <w:t>MeHg</w:t>
      </w:r>
      <w:proofErr w:type="spellEnd"/>
      <w:r w:rsidRPr="00A51B08">
        <w:rPr>
          <w:rFonts w:ascii="Times New Roman" w:hAnsi="Times New Roman" w:cs="Times New Roman"/>
          <w:sz w:val="24"/>
          <w:szCs w:val="24"/>
        </w:rPr>
        <w:t xml:space="preserve"> and DOC in surface water from Suisun Marsh / Grizzly Bay (April 2014). This relationship was used in combination with optical measurements taken with the PRISM remote-sensing instrument mounted in a manned aircraft platform to derive the </w:t>
      </w:r>
      <w:proofErr w:type="spellStart"/>
      <w:r w:rsidRPr="00A51B08">
        <w:rPr>
          <w:rFonts w:ascii="Times New Roman" w:hAnsi="Times New Roman" w:cs="Times New Roman"/>
          <w:sz w:val="24"/>
          <w:szCs w:val="24"/>
        </w:rPr>
        <w:t>f.MeHg</w:t>
      </w:r>
      <w:proofErr w:type="spellEnd"/>
      <w:r w:rsidRPr="00A51B08">
        <w:rPr>
          <w:rFonts w:ascii="Times New Roman" w:hAnsi="Times New Roman" w:cs="Times New Roman"/>
          <w:sz w:val="24"/>
          <w:szCs w:val="24"/>
        </w:rPr>
        <w:t xml:space="preserve"> map of the study region, as shown in </w:t>
      </w:r>
      <w:r w:rsidRPr="00A51B08">
        <w:rPr>
          <w:rFonts w:ascii="Times New Roman" w:hAnsi="Times New Roman" w:cs="Times New Roman"/>
          <w:b/>
          <w:sz w:val="24"/>
          <w:szCs w:val="24"/>
        </w:rPr>
        <w:t>Fig. 2</w:t>
      </w:r>
      <w:r w:rsidRPr="00A51B08">
        <w:rPr>
          <w:rFonts w:ascii="Times New Roman" w:hAnsi="Times New Roman" w:cs="Times New Roman"/>
          <w:sz w:val="24"/>
          <w:szCs w:val="24"/>
        </w:rPr>
        <w:t xml:space="preserve">. Previously published in </w:t>
      </w:r>
      <w:proofErr w:type="spellStart"/>
      <w:r w:rsidRPr="00A51B08">
        <w:rPr>
          <w:rFonts w:ascii="Times New Roman" w:hAnsi="Times New Roman" w:cs="Times New Roman"/>
          <w:sz w:val="24"/>
          <w:szCs w:val="24"/>
        </w:rPr>
        <w:t>Fichot</w:t>
      </w:r>
      <w:proofErr w:type="spellEnd"/>
      <w:r w:rsidRPr="00A51B08">
        <w:rPr>
          <w:rFonts w:ascii="Times New Roman" w:hAnsi="Times New Roman" w:cs="Times New Roman"/>
          <w:sz w:val="24"/>
          <w:szCs w:val="24"/>
        </w:rPr>
        <w:t xml:space="preserve"> et al. (2016). </w:t>
      </w:r>
    </w:p>
    <w:p w:rsidR="005E0EAA" w:rsidRPr="00A51B08" w:rsidRDefault="005E0EAA" w:rsidP="005E0EAA">
      <w:pPr>
        <w:rPr>
          <w:rFonts w:ascii="Times New Roman" w:hAnsi="Times New Roman" w:cs="Times New Roman"/>
          <w:sz w:val="24"/>
          <w:szCs w:val="24"/>
        </w:rPr>
      </w:pPr>
    </w:p>
    <w:p w:rsidR="005E0EAA" w:rsidRPr="00A51B08" w:rsidRDefault="005E0EAA" w:rsidP="005E0EAA">
      <w:pPr>
        <w:rPr>
          <w:rFonts w:ascii="Times New Roman" w:hAnsi="Times New Roman" w:cs="Times New Roman"/>
          <w:sz w:val="24"/>
          <w:szCs w:val="24"/>
        </w:rPr>
      </w:pPr>
    </w:p>
    <w:p w:rsidR="005E0EAA" w:rsidRPr="00A51B08" w:rsidRDefault="005E0EAA" w:rsidP="005E0EAA">
      <w:pPr>
        <w:rPr>
          <w:rFonts w:ascii="Times New Roman" w:hAnsi="Times New Roman" w:cs="Times New Roman"/>
          <w:sz w:val="24"/>
          <w:szCs w:val="24"/>
        </w:rPr>
      </w:pPr>
    </w:p>
    <w:p w:rsidR="005E0EAA" w:rsidRPr="00A51B08" w:rsidRDefault="005E0EAA" w:rsidP="005E0EAA">
      <w:pPr>
        <w:rPr>
          <w:rFonts w:ascii="Times New Roman" w:hAnsi="Times New Roman" w:cs="Times New Roman"/>
          <w:sz w:val="24"/>
          <w:szCs w:val="24"/>
        </w:rPr>
      </w:pPr>
      <w:r w:rsidRPr="00A51B08">
        <w:rPr>
          <w:rFonts w:ascii="Times New Roman" w:hAnsi="Times New Roman" w:cs="Times New Roman"/>
          <w:noProof/>
          <w:sz w:val="24"/>
          <w:szCs w:val="24"/>
        </w:rPr>
        <w:drawing>
          <wp:anchor distT="0" distB="0" distL="114300" distR="114300" simplePos="0" relativeHeight="251660288" behindDoc="0" locked="0" layoutInCell="1" allowOverlap="1" wp14:anchorId="0AF252A5" wp14:editId="0D594582">
            <wp:simplePos x="0" y="0"/>
            <wp:positionH relativeFrom="column">
              <wp:posOffset>0</wp:posOffset>
            </wp:positionH>
            <wp:positionV relativeFrom="paragraph">
              <wp:posOffset>4526</wp:posOffset>
            </wp:positionV>
            <wp:extent cx="3502025" cy="4086860"/>
            <wp:effectExtent l="0" t="0" r="3175" b="8890"/>
            <wp:wrapSquare wrapText="bothSides"/>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rotWithShape="1">
                    <a:blip r:embed="rId9">
                      <a:extLst>
                        <a:ext uri="{28A0092B-C50C-407E-A947-70E740481C1C}">
                          <a14:useLocalDpi xmlns:a14="http://schemas.microsoft.com/office/drawing/2010/main" val="0"/>
                        </a:ext>
                      </a:extLst>
                    </a:blip>
                    <a:srcRect t="7559"/>
                    <a:stretch/>
                  </pic:blipFill>
                  <pic:spPr>
                    <a:xfrm>
                      <a:off x="0" y="0"/>
                      <a:ext cx="3502025" cy="4086860"/>
                    </a:xfrm>
                    <a:prstGeom prst="rect">
                      <a:avLst/>
                    </a:prstGeom>
                  </pic:spPr>
                </pic:pic>
              </a:graphicData>
            </a:graphic>
          </wp:anchor>
        </w:drawing>
      </w:r>
    </w:p>
    <w:p w:rsidR="005E0EAA" w:rsidRPr="00A51B08" w:rsidRDefault="005E0EAA" w:rsidP="005E0EAA">
      <w:pPr>
        <w:rPr>
          <w:rFonts w:ascii="Times New Roman" w:hAnsi="Times New Roman" w:cs="Times New Roman"/>
          <w:sz w:val="24"/>
          <w:szCs w:val="24"/>
        </w:rPr>
      </w:pPr>
      <w:r w:rsidRPr="00A51B08">
        <w:rPr>
          <w:rFonts w:ascii="Times New Roman" w:hAnsi="Times New Roman" w:cs="Times New Roman"/>
          <w:b/>
          <w:sz w:val="24"/>
          <w:szCs w:val="24"/>
        </w:rPr>
        <w:t xml:space="preserve">Figure 2. </w:t>
      </w:r>
      <w:r w:rsidRPr="00A51B08">
        <w:rPr>
          <w:rFonts w:ascii="Times New Roman" w:hAnsi="Times New Roman" w:cs="Times New Roman"/>
          <w:sz w:val="24"/>
          <w:szCs w:val="24"/>
        </w:rPr>
        <w:t xml:space="preserve">High resolution image of filter-passing </w:t>
      </w:r>
      <w:proofErr w:type="spellStart"/>
      <w:r w:rsidRPr="00A51B08">
        <w:rPr>
          <w:rFonts w:ascii="Times New Roman" w:hAnsi="Times New Roman" w:cs="Times New Roman"/>
          <w:sz w:val="24"/>
          <w:szCs w:val="24"/>
        </w:rPr>
        <w:t>MeHg</w:t>
      </w:r>
      <w:proofErr w:type="spellEnd"/>
      <w:r w:rsidRPr="00A51B08">
        <w:rPr>
          <w:rFonts w:ascii="Times New Roman" w:hAnsi="Times New Roman" w:cs="Times New Roman"/>
          <w:sz w:val="24"/>
          <w:szCs w:val="24"/>
        </w:rPr>
        <w:t xml:space="preserve"> concentrations in Suisun Marsh / Grizzly Bay (April 2014) as derived from the surface water </w:t>
      </w:r>
      <w:proofErr w:type="spellStart"/>
      <w:r w:rsidRPr="00A51B08">
        <w:rPr>
          <w:rFonts w:ascii="Times New Roman" w:hAnsi="Times New Roman" w:cs="Times New Roman"/>
          <w:sz w:val="24"/>
          <w:szCs w:val="24"/>
        </w:rPr>
        <w:t>f.MeHg</w:t>
      </w:r>
      <w:proofErr w:type="spellEnd"/>
      <w:r w:rsidRPr="00A51B08">
        <w:rPr>
          <w:rFonts w:ascii="Times New Roman" w:hAnsi="Times New Roman" w:cs="Times New Roman"/>
          <w:sz w:val="24"/>
          <w:szCs w:val="24"/>
        </w:rPr>
        <w:t xml:space="preserve"> versus DOC concentration data shown in </w:t>
      </w:r>
      <w:r w:rsidRPr="00A51B08">
        <w:rPr>
          <w:rFonts w:ascii="Times New Roman" w:hAnsi="Times New Roman" w:cs="Times New Roman"/>
          <w:b/>
          <w:sz w:val="24"/>
          <w:szCs w:val="24"/>
        </w:rPr>
        <w:t>Fig. 1</w:t>
      </w:r>
      <w:r w:rsidRPr="00A51B08">
        <w:rPr>
          <w:rFonts w:ascii="Times New Roman" w:hAnsi="Times New Roman" w:cs="Times New Roman"/>
          <w:sz w:val="24"/>
          <w:szCs w:val="24"/>
        </w:rPr>
        <w:t xml:space="preserve"> and the RS-based (PRISM) optical measurement of colorimetric dissolved organic matter (cDOM at 440 nm). Previously published in </w:t>
      </w:r>
      <w:proofErr w:type="spellStart"/>
      <w:r w:rsidRPr="00A51B08">
        <w:rPr>
          <w:rFonts w:ascii="Times New Roman" w:hAnsi="Times New Roman" w:cs="Times New Roman"/>
          <w:sz w:val="24"/>
          <w:szCs w:val="24"/>
        </w:rPr>
        <w:t>Fichot</w:t>
      </w:r>
      <w:proofErr w:type="spellEnd"/>
      <w:r w:rsidRPr="00A51B08">
        <w:rPr>
          <w:rFonts w:ascii="Times New Roman" w:hAnsi="Times New Roman" w:cs="Times New Roman"/>
          <w:sz w:val="24"/>
          <w:szCs w:val="24"/>
        </w:rPr>
        <w:t xml:space="preserve"> et al. 2016.</w:t>
      </w:r>
    </w:p>
    <w:p w:rsidR="005E0EAA" w:rsidRPr="00A51B08" w:rsidRDefault="005E0EAA" w:rsidP="005E0EAA">
      <w:pPr>
        <w:rPr>
          <w:rFonts w:ascii="Times New Roman" w:hAnsi="Times New Roman" w:cs="Times New Roman"/>
          <w:sz w:val="24"/>
          <w:szCs w:val="24"/>
        </w:rPr>
      </w:pPr>
      <w:r w:rsidRPr="00A51B08">
        <w:rPr>
          <w:rFonts w:ascii="Times New Roman" w:hAnsi="Times New Roman" w:cs="Times New Roman"/>
          <w:sz w:val="24"/>
          <w:szCs w:val="24"/>
        </w:rPr>
        <w:t xml:space="preserve"> </w:t>
      </w:r>
    </w:p>
    <w:p w:rsidR="005E0EAA" w:rsidRPr="00A51B08" w:rsidRDefault="005E0EAA" w:rsidP="005E0EAA">
      <w:pPr>
        <w:rPr>
          <w:rFonts w:ascii="Times New Roman" w:hAnsi="Times New Roman" w:cs="Times New Roman"/>
          <w:sz w:val="24"/>
          <w:szCs w:val="24"/>
        </w:rPr>
      </w:pPr>
    </w:p>
    <w:p w:rsidR="005E0EAA" w:rsidRPr="00A51B08" w:rsidRDefault="005E0EAA" w:rsidP="005E0EAA">
      <w:pPr>
        <w:rPr>
          <w:rFonts w:ascii="Times New Roman" w:hAnsi="Times New Roman" w:cs="Times New Roman"/>
          <w:sz w:val="24"/>
          <w:szCs w:val="24"/>
        </w:rPr>
      </w:pPr>
    </w:p>
    <w:p w:rsidR="005E0EAA" w:rsidRPr="00A51B08" w:rsidRDefault="005E0EAA" w:rsidP="005E0EAA">
      <w:pPr>
        <w:rPr>
          <w:rFonts w:ascii="Times New Roman" w:hAnsi="Times New Roman" w:cs="Times New Roman"/>
          <w:sz w:val="24"/>
          <w:szCs w:val="24"/>
        </w:rPr>
      </w:pPr>
    </w:p>
    <w:p w:rsidR="005E0EAA" w:rsidRPr="00A51B08" w:rsidRDefault="005E0EAA" w:rsidP="005E0EAA">
      <w:pPr>
        <w:rPr>
          <w:rFonts w:ascii="Times New Roman" w:hAnsi="Times New Roman" w:cs="Times New Roman"/>
          <w:sz w:val="24"/>
          <w:szCs w:val="24"/>
        </w:rPr>
      </w:pPr>
    </w:p>
    <w:p w:rsidR="005E0EAA" w:rsidRPr="00A51B08" w:rsidRDefault="005E0EAA" w:rsidP="005E0EAA">
      <w:pPr>
        <w:rPr>
          <w:rFonts w:ascii="Times New Roman" w:hAnsi="Times New Roman" w:cs="Times New Roman"/>
          <w:sz w:val="24"/>
          <w:szCs w:val="24"/>
        </w:rPr>
      </w:pPr>
    </w:p>
    <w:p w:rsidR="005E0EAA" w:rsidRPr="00A51B08" w:rsidRDefault="005E0EAA" w:rsidP="005E0EAA">
      <w:pPr>
        <w:rPr>
          <w:rFonts w:ascii="Times New Roman" w:hAnsi="Times New Roman" w:cs="Times New Roman"/>
          <w:sz w:val="24"/>
          <w:szCs w:val="24"/>
        </w:rPr>
      </w:pPr>
      <w:r w:rsidRPr="00A51B08">
        <w:rPr>
          <w:rFonts w:ascii="Times New Roman" w:hAnsi="Times New Roman" w:cs="Times New Roman"/>
          <w:sz w:val="24"/>
          <w:szCs w:val="24"/>
        </w:rPr>
        <w:t xml:space="preserve">The above example was an important first step in high-resolution Hg </w:t>
      </w:r>
      <w:proofErr w:type="gramStart"/>
      <w:r w:rsidRPr="00A51B08">
        <w:rPr>
          <w:rFonts w:ascii="Times New Roman" w:hAnsi="Times New Roman" w:cs="Times New Roman"/>
          <w:sz w:val="24"/>
          <w:szCs w:val="24"/>
        </w:rPr>
        <w:t>mapping, but</w:t>
      </w:r>
      <w:proofErr w:type="gramEnd"/>
      <w:r w:rsidRPr="00A51B08">
        <w:rPr>
          <w:rFonts w:ascii="Times New Roman" w:hAnsi="Times New Roman" w:cs="Times New Roman"/>
          <w:sz w:val="24"/>
          <w:szCs w:val="24"/>
        </w:rPr>
        <w:t xml:space="preserve"> was limited to a one-time sampling event in a moderately-sized regional area. The large spatial and temporal variability of the whole Delta region will certainly prove far more challenging in terms of </w:t>
      </w:r>
      <w:r w:rsidRPr="00A51B08">
        <w:rPr>
          <w:rFonts w:ascii="Times New Roman" w:hAnsi="Times New Roman" w:cs="Times New Roman"/>
          <w:sz w:val="24"/>
          <w:szCs w:val="24"/>
        </w:rPr>
        <w:lastRenderedPageBreak/>
        <w:t>developing predictive Hg vs. non-Hg relationships. Field data associated with traditional sampling efforts often show a wide range of variability, even if an overall trend is apparent. An example of this is shown below (</w:t>
      </w:r>
      <w:r w:rsidRPr="00A51B08">
        <w:rPr>
          <w:rFonts w:ascii="Times New Roman" w:hAnsi="Times New Roman" w:cs="Times New Roman"/>
          <w:b/>
          <w:sz w:val="24"/>
          <w:szCs w:val="24"/>
        </w:rPr>
        <w:t>Fig. 3</w:t>
      </w:r>
      <w:r w:rsidRPr="00A51B08">
        <w:rPr>
          <w:rFonts w:ascii="Times New Roman" w:hAnsi="Times New Roman" w:cs="Times New Roman"/>
          <w:sz w:val="24"/>
          <w:szCs w:val="24"/>
        </w:rPr>
        <w:t xml:space="preserve">) for dissolved </w:t>
      </w:r>
      <w:proofErr w:type="spellStart"/>
      <w:r w:rsidRPr="00A51B08">
        <w:rPr>
          <w:rFonts w:ascii="Times New Roman" w:hAnsi="Times New Roman" w:cs="Times New Roman"/>
          <w:sz w:val="24"/>
          <w:szCs w:val="24"/>
        </w:rPr>
        <w:t>MeHg</w:t>
      </w:r>
      <w:proofErr w:type="spellEnd"/>
      <w:r w:rsidRPr="00A51B08">
        <w:rPr>
          <w:rFonts w:ascii="Times New Roman" w:hAnsi="Times New Roman" w:cs="Times New Roman"/>
          <w:sz w:val="24"/>
          <w:szCs w:val="24"/>
        </w:rPr>
        <w:t xml:space="preserve"> and DOC, which represents 355 observations from numerous sampling sites throughout the Delta, collected over a wide range of specific sites and habitat types (wetlands and open-water) and temporal (seasonal and tidal) conditions. Although there is a clear positive non-linear relationship between these two variables, the variability increases as the DOC content increases (R</w:t>
      </w:r>
      <w:r w:rsidRPr="00A51B08">
        <w:rPr>
          <w:rFonts w:ascii="Times New Roman" w:hAnsi="Times New Roman" w:cs="Times New Roman"/>
          <w:sz w:val="24"/>
          <w:szCs w:val="24"/>
          <w:vertAlign w:val="superscript"/>
        </w:rPr>
        <w:t>2</w:t>
      </w:r>
      <w:r w:rsidRPr="00A51B08">
        <w:rPr>
          <w:rFonts w:ascii="Times New Roman" w:hAnsi="Times New Roman" w:cs="Times New Roman"/>
          <w:sz w:val="24"/>
          <w:szCs w:val="24"/>
        </w:rPr>
        <w:t xml:space="preserve"> = 0.62). However, when the data are limited to open-water Delta sites only (</w:t>
      </w:r>
      <w:r w:rsidRPr="00A51B08">
        <w:rPr>
          <w:rFonts w:ascii="Times New Roman" w:hAnsi="Times New Roman" w:cs="Times New Roman"/>
          <w:b/>
          <w:sz w:val="24"/>
          <w:szCs w:val="24"/>
        </w:rPr>
        <w:t>Fig. 4</w:t>
      </w:r>
      <w:r w:rsidRPr="00A51B08">
        <w:rPr>
          <w:rFonts w:ascii="Times New Roman" w:hAnsi="Times New Roman" w:cs="Times New Roman"/>
          <w:sz w:val="24"/>
          <w:szCs w:val="24"/>
        </w:rPr>
        <w:t xml:space="preserve">, n=121), as will be the case in the currently proposed study, the predictability of the </w:t>
      </w:r>
      <w:proofErr w:type="spellStart"/>
      <w:r w:rsidRPr="00A51B08">
        <w:rPr>
          <w:rFonts w:ascii="Times New Roman" w:hAnsi="Times New Roman" w:cs="Times New Roman"/>
          <w:sz w:val="24"/>
          <w:szCs w:val="24"/>
        </w:rPr>
        <w:t>f.MeHg</w:t>
      </w:r>
      <w:proofErr w:type="spellEnd"/>
      <w:r w:rsidRPr="00A51B08">
        <w:rPr>
          <w:rFonts w:ascii="Times New Roman" w:hAnsi="Times New Roman" w:cs="Times New Roman"/>
          <w:sz w:val="24"/>
          <w:szCs w:val="24"/>
        </w:rPr>
        <w:t xml:space="preserve"> versus DOC relationship increases substantially (R</w:t>
      </w:r>
      <w:r w:rsidRPr="00A51B08">
        <w:rPr>
          <w:rFonts w:ascii="Times New Roman" w:hAnsi="Times New Roman" w:cs="Times New Roman"/>
          <w:sz w:val="24"/>
          <w:szCs w:val="24"/>
          <w:vertAlign w:val="superscript"/>
        </w:rPr>
        <w:t>2</w:t>
      </w:r>
      <w:r w:rsidRPr="00A51B08">
        <w:rPr>
          <w:rFonts w:ascii="Times New Roman" w:hAnsi="Times New Roman" w:cs="Times New Roman"/>
          <w:sz w:val="24"/>
          <w:szCs w:val="24"/>
        </w:rPr>
        <w:t xml:space="preserve"> = 0.84). Further, the relationship between </w:t>
      </w:r>
      <w:proofErr w:type="spellStart"/>
      <w:r w:rsidRPr="00A51B08">
        <w:rPr>
          <w:rFonts w:ascii="Times New Roman" w:hAnsi="Times New Roman" w:cs="Times New Roman"/>
          <w:sz w:val="24"/>
          <w:szCs w:val="24"/>
        </w:rPr>
        <w:t>f.MeHg</w:t>
      </w:r>
      <w:proofErr w:type="spellEnd"/>
      <w:r w:rsidRPr="00A51B08">
        <w:rPr>
          <w:rFonts w:ascii="Times New Roman" w:hAnsi="Times New Roman" w:cs="Times New Roman"/>
          <w:sz w:val="24"/>
          <w:szCs w:val="24"/>
        </w:rPr>
        <w:t xml:space="preserve"> and A254 (optical absorbance at 254 nm; a qualitative and quantitative DOC proxy), the same open-water data set shows an even stronger relationship that is linear (R</w:t>
      </w:r>
      <w:r w:rsidRPr="00A51B08">
        <w:rPr>
          <w:rFonts w:ascii="Times New Roman" w:hAnsi="Times New Roman" w:cs="Times New Roman"/>
          <w:sz w:val="24"/>
          <w:szCs w:val="24"/>
          <w:vertAlign w:val="superscript"/>
        </w:rPr>
        <w:t>2</w:t>
      </w:r>
      <w:r w:rsidRPr="00A51B08">
        <w:rPr>
          <w:rFonts w:ascii="Times New Roman" w:hAnsi="Times New Roman" w:cs="Times New Roman"/>
          <w:sz w:val="24"/>
          <w:szCs w:val="24"/>
        </w:rPr>
        <w:t xml:space="preserve"> = 0.89, </w:t>
      </w:r>
      <w:r w:rsidRPr="00A51B08">
        <w:rPr>
          <w:rFonts w:ascii="Times New Roman" w:hAnsi="Times New Roman" w:cs="Times New Roman"/>
          <w:b/>
          <w:sz w:val="24"/>
          <w:szCs w:val="24"/>
        </w:rPr>
        <w:t>Fig 5</w:t>
      </w:r>
      <w:r w:rsidRPr="00A51B08">
        <w:rPr>
          <w:rFonts w:ascii="Times New Roman" w:hAnsi="Times New Roman" w:cs="Times New Roman"/>
          <w:sz w:val="24"/>
          <w:szCs w:val="24"/>
        </w:rPr>
        <w:t xml:space="preserve">). This example demonstrates the strong potential for optical measurements to provide high-quality predictive data for </w:t>
      </w:r>
      <w:proofErr w:type="spellStart"/>
      <w:r w:rsidRPr="00A51B08">
        <w:rPr>
          <w:rFonts w:ascii="Times New Roman" w:hAnsi="Times New Roman" w:cs="Times New Roman"/>
          <w:sz w:val="24"/>
          <w:szCs w:val="24"/>
        </w:rPr>
        <w:t>f.MeHg</w:t>
      </w:r>
      <w:proofErr w:type="spellEnd"/>
      <w:r w:rsidRPr="00A51B08">
        <w:rPr>
          <w:rFonts w:ascii="Times New Roman" w:hAnsi="Times New Roman" w:cs="Times New Roman"/>
          <w:sz w:val="24"/>
          <w:szCs w:val="24"/>
        </w:rPr>
        <w:t xml:space="preserve"> over multiple locations, seasons, and tidal conditions.</w:t>
      </w:r>
    </w:p>
    <w:p w:rsidR="005E0EAA" w:rsidRPr="00A51B08" w:rsidRDefault="005E0EAA" w:rsidP="005E0EAA">
      <w:pPr>
        <w:rPr>
          <w:rFonts w:ascii="Times New Roman" w:hAnsi="Times New Roman" w:cs="Times New Roman"/>
          <w:sz w:val="24"/>
          <w:szCs w:val="24"/>
        </w:rPr>
      </w:pPr>
    </w:p>
    <w:p w:rsidR="005E0EAA" w:rsidRPr="00A51B08" w:rsidRDefault="005E0EAA" w:rsidP="005E0EAA">
      <w:pPr>
        <w:autoSpaceDE w:val="0"/>
        <w:autoSpaceDN w:val="0"/>
        <w:adjustRightInd w:val="0"/>
        <w:spacing w:after="0" w:line="240" w:lineRule="auto"/>
        <w:rPr>
          <w:rFonts w:ascii="Times New Roman" w:hAnsi="Times New Roman" w:cs="Times New Roman"/>
          <w:sz w:val="24"/>
          <w:szCs w:val="24"/>
        </w:rPr>
      </w:pPr>
    </w:p>
    <w:p w:rsidR="005E0EAA" w:rsidRPr="00A51B08" w:rsidRDefault="005E0EAA" w:rsidP="005E0EAA">
      <w:pPr>
        <w:autoSpaceDE w:val="0"/>
        <w:autoSpaceDN w:val="0"/>
        <w:adjustRightInd w:val="0"/>
        <w:spacing w:after="0" w:line="240" w:lineRule="auto"/>
        <w:rPr>
          <w:rFonts w:ascii="Times New Roman" w:hAnsi="Times New Roman" w:cs="Times New Roman"/>
          <w:sz w:val="24"/>
          <w:szCs w:val="24"/>
        </w:rPr>
      </w:pPr>
      <w:r w:rsidRPr="00A51B08">
        <w:rPr>
          <w:rFonts w:ascii="Times New Roman" w:hAnsi="Times New Roman" w:cs="Times New Roman"/>
          <w:noProof/>
          <w:sz w:val="24"/>
          <w:szCs w:val="24"/>
        </w:rPr>
        <w:drawing>
          <wp:anchor distT="0" distB="0" distL="114300" distR="114300" simplePos="0" relativeHeight="251661312" behindDoc="0" locked="0" layoutInCell="1" allowOverlap="1" wp14:anchorId="34CC3D3B" wp14:editId="1A55D255">
            <wp:simplePos x="0" y="0"/>
            <wp:positionH relativeFrom="column">
              <wp:posOffset>0</wp:posOffset>
            </wp:positionH>
            <wp:positionV relativeFrom="paragraph">
              <wp:posOffset>0</wp:posOffset>
            </wp:positionV>
            <wp:extent cx="4224527" cy="3200400"/>
            <wp:effectExtent l="0" t="0" r="508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 f.MeHg vs LOG DOC - all data b.png"/>
                    <pic:cNvPicPr/>
                  </pic:nvPicPr>
                  <pic:blipFill>
                    <a:blip r:embed="rId10">
                      <a:extLst>
                        <a:ext uri="{28A0092B-C50C-407E-A947-70E740481C1C}">
                          <a14:useLocalDpi xmlns:a14="http://schemas.microsoft.com/office/drawing/2010/main" val="0"/>
                        </a:ext>
                      </a:extLst>
                    </a:blip>
                    <a:stretch>
                      <a:fillRect/>
                    </a:stretch>
                  </pic:blipFill>
                  <pic:spPr>
                    <a:xfrm>
                      <a:off x="0" y="0"/>
                      <a:ext cx="4224527" cy="3200400"/>
                    </a:xfrm>
                    <a:prstGeom prst="rect">
                      <a:avLst/>
                    </a:prstGeom>
                  </pic:spPr>
                </pic:pic>
              </a:graphicData>
            </a:graphic>
            <wp14:sizeRelH relativeFrom="margin">
              <wp14:pctWidth>0</wp14:pctWidth>
            </wp14:sizeRelH>
            <wp14:sizeRelV relativeFrom="margin">
              <wp14:pctHeight>0</wp14:pctHeight>
            </wp14:sizeRelV>
          </wp:anchor>
        </w:drawing>
      </w:r>
      <w:r w:rsidRPr="00A51B08">
        <w:rPr>
          <w:rFonts w:ascii="Times New Roman" w:hAnsi="Times New Roman" w:cs="Times New Roman"/>
          <w:b/>
          <w:sz w:val="24"/>
          <w:szCs w:val="24"/>
        </w:rPr>
        <w:t>Figure 3.</w:t>
      </w:r>
      <w:r w:rsidRPr="00A51B08">
        <w:rPr>
          <w:rFonts w:ascii="Times New Roman" w:hAnsi="Times New Roman" w:cs="Times New Roman"/>
          <w:sz w:val="24"/>
          <w:szCs w:val="24"/>
        </w:rPr>
        <w:t xml:space="preserve"> LOG-LOG plot of filter-passing </w:t>
      </w:r>
      <w:proofErr w:type="spellStart"/>
      <w:r w:rsidRPr="00A51B08">
        <w:rPr>
          <w:rFonts w:ascii="Times New Roman" w:hAnsi="Times New Roman" w:cs="Times New Roman"/>
          <w:sz w:val="24"/>
          <w:szCs w:val="24"/>
        </w:rPr>
        <w:t>MeHg</w:t>
      </w:r>
      <w:proofErr w:type="spellEnd"/>
      <w:r w:rsidRPr="00A51B08">
        <w:rPr>
          <w:rFonts w:ascii="Times New Roman" w:hAnsi="Times New Roman" w:cs="Times New Roman"/>
          <w:sz w:val="24"/>
          <w:szCs w:val="24"/>
        </w:rPr>
        <w:t xml:space="preserve"> vs. DOC for 14 sampling locations throughout the Delta during the period April 2005 - June 2011. These data were collected over many different sampling events, habitat types, seasons, and tidal conditions. Unpublished Data, J. Fleck (USGS, Sacramento, CA). </w:t>
      </w:r>
    </w:p>
    <w:p w:rsidR="005E0EAA" w:rsidRPr="00A51B08" w:rsidRDefault="005E0EAA" w:rsidP="005E0EAA">
      <w:pPr>
        <w:rPr>
          <w:rFonts w:ascii="Times New Roman" w:hAnsi="Times New Roman" w:cs="Times New Roman"/>
          <w:sz w:val="24"/>
          <w:szCs w:val="24"/>
        </w:rPr>
      </w:pPr>
    </w:p>
    <w:p w:rsidR="005E0EAA" w:rsidRPr="00A51B08" w:rsidRDefault="005E0EAA" w:rsidP="005E0EAA">
      <w:pPr>
        <w:rPr>
          <w:rFonts w:ascii="Times New Roman" w:hAnsi="Times New Roman" w:cs="Times New Roman"/>
          <w:sz w:val="24"/>
          <w:szCs w:val="24"/>
        </w:rPr>
      </w:pPr>
    </w:p>
    <w:p w:rsidR="005E0EAA" w:rsidRPr="00A51B08" w:rsidRDefault="005E0EAA" w:rsidP="005E0EAA">
      <w:pPr>
        <w:rPr>
          <w:rFonts w:ascii="Times New Roman" w:hAnsi="Times New Roman" w:cs="Times New Roman"/>
          <w:sz w:val="24"/>
          <w:szCs w:val="24"/>
        </w:rPr>
      </w:pPr>
    </w:p>
    <w:p w:rsidR="005E0EAA" w:rsidRPr="00A51B08" w:rsidRDefault="005E0EAA" w:rsidP="005E0EAA">
      <w:pPr>
        <w:rPr>
          <w:rFonts w:ascii="Times New Roman" w:hAnsi="Times New Roman" w:cs="Times New Roman"/>
          <w:sz w:val="24"/>
          <w:szCs w:val="24"/>
        </w:rPr>
      </w:pPr>
    </w:p>
    <w:p w:rsidR="005E0EAA" w:rsidRPr="00A51B08" w:rsidRDefault="005E0EAA" w:rsidP="005E0EAA">
      <w:pPr>
        <w:rPr>
          <w:rFonts w:ascii="Times New Roman" w:hAnsi="Times New Roman" w:cs="Times New Roman"/>
          <w:sz w:val="24"/>
          <w:szCs w:val="24"/>
        </w:rPr>
      </w:pPr>
      <w:r w:rsidRPr="00A51B08">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6972CECF" wp14:editId="7474C36C">
            <wp:simplePos x="0" y="0"/>
            <wp:positionH relativeFrom="column">
              <wp:posOffset>0</wp:posOffset>
            </wp:positionH>
            <wp:positionV relativeFrom="paragraph">
              <wp:posOffset>1905</wp:posOffset>
            </wp:positionV>
            <wp:extent cx="3880485" cy="3200400"/>
            <wp:effectExtent l="0" t="0" r="571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 f.MeHg vs LOG DOC - OW Delta only b.png"/>
                    <pic:cNvPicPr/>
                  </pic:nvPicPr>
                  <pic:blipFill>
                    <a:blip r:embed="rId11">
                      <a:extLst>
                        <a:ext uri="{28A0092B-C50C-407E-A947-70E740481C1C}">
                          <a14:useLocalDpi xmlns:a14="http://schemas.microsoft.com/office/drawing/2010/main" val="0"/>
                        </a:ext>
                      </a:extLst>
                    </a:blip>
                    <a:stretch>
                      <a:fillRect/>
                    </a:stretch>
                  </pic:blipFill>
                  <pic:spPr>
                    <a:xfrm>
                      <a:off x="0" y="0"/>
                      <a:ext cx="3880485" cy="3200400"/>
                    </a:xfrm>
                    <a:prstGeom prst="rect">
                      <a:avLst/>
                    </a:prstGeom>
                  </pic:spPr>
                </pic:pic>
              </a:graphicData>
            </a:graphic>
            <wp14:sizeRelH relativeFrom="margin">
              <wp14:pctWidth>0</wp14:pctWidth>
            </wp14:sizeRelH>
            <wp14:sizeRelV relativeFrom="margin">
              <wp14:pctHeight>0</wp14:pctHeight>
            </wp14:sizeRelV>
          </wp:anchor>
        </w:drawing>
      </w:r>
      <w:r w:rsidRPr="00A51B08">
        <w:rPr>
          <w:rFonts w:ascii="Times New Roman" w:hAnsi="Times New Roman" w:cs="Times New Roman"/>
          <w:b/>
          <w:sz w:val="24"/>
          <w:szCs w:val="24"/>
        </w:rPr>
        <w:t>Figure 4.</w:t>
      </w:r>
      <w:r w:rsidRPr="00A51B08">
        <w:rPr>
          <w:rFonts w:ascii="Times New Roman" w:hAnsi="Times New Roman" w:cs="Times New Roman"/>
          <w:sz w:val="24"/>
          <w:szCs w:val="24"/>
        </w:rPr>
        <w:t xml:space="preserve"> LOG-LOG plot of filter-passing </w:t>
      </w:r>
      <w:proofErr w:type="spellStart"/>
      <w:r w:rsidRPr="00A51B08">
        <w:rPr>
          <w:rFonts w:ascii="Times New Roman" w:hAnsi="Times New Roman" w:cs="Times New Roman"/>
          <w:sz w:val="24"/>
          <w:szCs w:val="24"/>
        </w:rPr>
        <w:t>MeHg</w:t>
      </w:r>
      <w:proofErr w:type="spellEnd"/>
      <w:r w:rsidRPr="00A51B08">
        <w:rPr>
          <w:rFonts w:ascii="Times New Roman" w:hAnsi="Times New Roman" w:cs="Times New Roman"/>
          <w:sz w:val="24"/>
          <w:szCs w:val="24"/>
        </w:rPr>
        <w:t xml:space="preserve"> vs. DOC for 3 open-water (only) sampling locations (Brown’s Island, Liberty Island, and Grizzly Bay) within the Delta, collected during April 2005 - June 2011 (subset of </w:t>
      </w:r>
      <w:r w:rsidRPr="00A51B08">
        <w:rPr>
          <w:rFonts w:ascii="Times New Roman" w:hAnsi="Times New Roman" w:cs="Times New Roman"/>
          <w:b/>
          <w:sz w:val="24"/>
          <w:szCs w:val="24"/>
        </w:rPr>
        <w:t>Fig. 3</w:t>
      </w:r>
      <w:r w:rsidRPr="00A51B08">
        <w:rPr>
          <w:rFonts w:ascii="Times New Roman" w:hAnsi="Times New Roman" w:cs="Times New Roman"/>
          <w:sz w:val="24"/>
          <w:szCs w:val="24"/>
        </w:rPr>
        <w:t>). These data come from multiple sampling events, seasons, and tidal conditions. Unpublished Data, J. Fleck (USGS, Sacramento, CA).</w:t>
      </w:r>
    </w:p>
    <w:p w:rsidR="005E0EAA" w:rsidRPr="00A51B08" w:rsidRDefault="005E0EAA" w:rsidP="005E0EAA">
      <w:pPr>
        <w:rPr>
          <w:rFonts w:ascii="Times New Roman" w:hAnsi="Times New Roman" w:cs="Times New Roman"/>
          <w:sz w:val="24"/>
          <w:szCs w:val="24"/>
        </w:rPr>
      </w:pPr>
    </w:p>
    <w:p w:rsidR="005E0EAA" w:rsidRPr="00A51B08" w:rsidRDefault="005E0EAA" w:rsidP="005E0EAA">
      <w:pPr>
        <w:rPr>
          <w:rFonts w:ascii="Times New Roman" w:hAnsi="Times New Roman" w:cs="Times New Roman"/>
          <w:sz w:val="24"/>
          <w:szCs w:val="24"/>
        </w:rPr>
      </w:pPr>
    </w:p>
    <w:p w:rsidR="005E0EAA" w:rsidRPr="00A51B08" w:rsidRDefault="005E0EAA" w:rsidP="005E0EAA">
      <w:pPr>
        <w:rPr>
          <w:rFonts w:ascii="Times New Roman" w:hAnsi="Times New Roman" w:cs="Times New Roman"/>
          <w:sz w:val="24"/>
          <w:szCs w:val="24"/>
        </w:rPr>
      </w:pPr>
    </w:p>
    <w:p w:rsidR="005E0EAA" w:rsidRPr="00A51B08" w:rsidRDefault="005E0EAA" w:rsidP="005E0EAA">
      <w:pPr>
        <w:rPr>
          <w:rFonts w:ascii="Times New Roman" w:hAnsi="Times New Roman" w:cs="Times New Roman"/>
          <w:sz w:val="24"/>
          <w:szCs w:val="24"/>
        </w:rPr>
      </w:pPr>
    </w:p>
    <w:p w:rsidR="005E0EAA" w:rsidRPr="00A51B08" w:rsidRDefault="005E0EAA" w:rsidP="005E0EAA">
      <w:pPr>
        <w:rPr>
          <w:rFonts w:ascii="Times New Roman" w:hAnsi="Times New Roman" w:cs="Times New Roman"/>
          <w:sz w:val="24"/>
          <w:szCs w:val="24"/>
        </w:rPr>
      </w:pPr>
    </w:p>
    <w:p w:rsidR="005E0EAA" w:rsidRPr="00A51B08" w:rsidRDefault="005E0EAA" w:rsidP="005E0EAA">
      <w:pPr>
        <w:rPr>
          <w:rFonts w:ascii="Times New Roman" w:hAnsi="Times New Roman" w:cs="Times New Roman"/>
          <w:sz w:val="24"/>
          <w:szCs w:val="24"/>
        </w:rPr>
      </w:pPr>
    </w:p>
    <w:p w:rsidR="005E0EAA" w:rsidRPr="00A51B08" w:rsidRDefault="005E0EAA" w:rsidP="005E0EAA">
      <w:pPr>
        <w:rPr>
          <w:rFonts w:ascii="Times New Roman" w:hAnsi="Times New Roman" w:cs="Times New Roman"/>
          <w:b/>
          <w:sz w:val="24"/>
          <w:szCs w:val="24"/>
        </w:rPr>
      </w:pPr>
    </w:p>
    <w:p w:rsidR="005E0EAA" w:rsidRPr="00A51B08" w:rsidRDefault="005E0EAA" w:rsidP="005E0EAA">
      <w:pPr>
        <w:rPr>
          <w:rFonts w:ascii="Times New Roman" w:hAnsi="Times New Roman" w:cs="Times New Roman"/>
          <w:sz w:val="24"/>
          <w:szCs w:val="24"/>
        </w:rPr>
      </w:pPr>
      <w:r w:rsidRPr="00A51B08">
        <w:rPr>
          <w:rFonts w:ascii="Times New Roman" w:hAnsi="Times New Roman" w:cs="Times New Roman"/>
          <w:noProof/>
          <w:sz w:val="24"/>
          <w:szCs w:val="24"/>
        </w:rPr>
        <w:drawing>
          <wp:anchor distT="0" distB="0" distL="114300" distR="114300" simplePos="0" relativeHeight="251663360" behindDoc="0" locked="0" layoutInCell="1" allowOverlap="1" wp14:anchorId="3E79F979" wp14:editId="68647EE1">
            <wp:simplePos x="0" y="0"/>
            <wp:positionH relativeFrom="column">
              <wp:posOffset>0</wp:posOffset>
            </wp:positionH>
            <wp:positionV relativeFrom="paragraph">
              <wp:posOffset>635</wp:posOffset>
            </wp:positionV>
            <wp:extent cx="3840480" cy="3200400"/>
            <wp:effectExtent l="0" t="0" r="762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MeHg vs Abs.254 - OW Delta only b.png"/>
                    <pic:cNvPicPr/>
                  </pic:nvPicPr>
                  <pic:blipFill>
                    <a:blip r:embed="rId12">
                      <a:extLst>
                        <a:ext uri="{28A0092B-C50C-407E-A947-70E740481C1C}">
                          <a14:useLocalDpi xmlns:a14="http://schemas.microsoft.com/office/drawing/2010/main" val="0"/>
                        </a:ext>
                      </a:extLst>
                    </a:blip>
                    <a:stretch>
                      <a:fillRect/>
                    </a:stretch>
                  </pic:blipFill>
                  <pic:spPr>
                    <a:xfrm>
                      <a:off x="0" y="0"/>
                      <a:ext cx="3840480" cy="3200400"/>
                    </a:xfrm>
                    <a:prstGeom prst="rect">
                      <a:avLst/>
                    </a:prstGeom>
                  </pic:spPr>
                </pic:pic>
              </a:graphicData>
            </a:graphic>
            <wp14:sizeRelH relativeFrom="margin">
              <wp14:pctWidth>0</wp14:pctWidth>
            </wp14:sizeRelH>
            <wp14:sizeRelV relativeFrom="margin">
              <wp14:pctHeight>0</wp14:pctHeight>
            </wp14:sizeRelV>
          </wp:anchor>
        </w:drawing>
      </w:r>
      <w:r w:rsidRPr="00A51B08">
        <w:rPr>
          <w:rFonts w:ascii="Times New Roman" w:hAnsi="Times New Roman" w:cs="Times New Roman"/>
          <w:b/>
          <w:sz w:val="24"/>
          <w:szCs w:val="24"/>
        </w:rPr>
        <w:t>Figure 5.</w:t>
      </w:r>
      <w:r w:rsidRPr="00A51B08">
        <w:rPr>
          <w:rFonts w:ascii="Times New Roman" w:hAnsi="Times New Roman" w:cs="Times New Roman"/>
          <w:sz w:val="24"/>
          <w:szCs w:val="24"/>
        </w:rPr>
        <w:t xml:space="preserve"> X-Y plot of filter-passing </w:t>
      </w:r>
      <w:proofErr w:type="spellStart"/>
      <w:r w:rsidRPr="00A51B08">
        <w:rPr>
          <w:rFonts w:ascii="Times New Roman" w:hAnsi="Times New Roman" w:cs="Times New Roman"/>
          <w:sz w:val="24"/>
          <w:szCs w:val="24"/>
        </w:rPr>
        <w:t>MeHg</w:t>
      </w:r>
      <w:proofErr w:type="spellEnd"/>
      <w:r w:rsidRPr="00A51B08">
        <w:rPr>
          <w:rFonts w:ascii="Times New Roman" w:hAnsi="Times New Roman" w:cs="Times New Roman"/>
          <w:sz w:val="24"/>
          <w:szCs w:val="24"/>
        </w:rPr>
        <w:t xml:space="preserve"> vs. optical absorbance at 254 nm (A254) for 3 open-water (only) sampling locations (Brown’s Island, Liberty Island, and Grizzly Bay) within the Delta collected during April 2005 - June 2011 (subset of </w:t>
      </w:r>
      <w:r w:rsidRPr="00A51B08">
        <w:rPr>
          <w:rFonts w:ascii="Times New Roman" w:hAnsi="Times New Roman" w:cs="Times New Roman"/>
          <w:b/>
          <w:sz w:val="24"/>
          <w:szCs w:val="24"/>
        </w:rPr>
        <w:t>Fig. 3</w:t>
      </w:r>
      <w:r w:rsidRPr="00A51B08">
        <w:rPr>
          <w:rFonts w:ascii="Times New Roman" w:hAnsi="Times New Roman" w:cs="Times New Roman"/>
          <w:sz w:val="24"/>
          <w:szCs w:val="24"/>
        </w:rPr>
        <w:t>). These data come from multiple sampling events, seasons, and tidal conditions. Unpublished Data, J. Fleck (USGS, Sacramento, CA).</w:t>
      </w:r>
    </w:p>
    <w:p w:rsidR="005E0EAA" w:rsidRPr="00A51B08" w:rsidRDefault="005E0EAA" w:rsidP="005E0EAA">
      <w:pPr>
        <w:rPr>
          <w:rFonts w:ascii="Times New Roman" w:hAnsi="Times New Roman" w:cs="Times New Roman"/>
          <w:sz w:val="24"/>
          <w:szCs w:val="24"/>
        </w:rPr>
      </w:pPr>
    </w:p>
    <w:p w:rsidR="005E0EAA" w:rsidRPr="00A51B08" w:rsidRDefault="005E0EAA" w:rsidP="005E0EAA">
      <w:pPr>
        <w:rPr>
          <w:rFonts w:ascii="Times New Roman" w:hAnsi="Times New Roman" w:cs="Times New Roman"/>
          <w:sz w:val="24"/>
          <w:szCs w:val="24"/>
        </w:rPr>
      </w:pPr>
    </w:p>
    <w:p w:rsidR="005E0EAA" w:rsidRPr="00A51B08" w:rsidRDefault="005E0EAA" w:rsidP="005E0EAA">
      <w:pPr>
        <w:rPr>
          <w:rFonts w:ascii="Times New Roman" w:hAnsi="Times New Roman" w:cs="Times New Roman"/>
          <w:sz w:val="24"/>
          <w:szCs w:val="24"/>
        </w:rPr>
      </w:pPr>
      <w:r w:rsidRPr="00A51B08">
        <w:rPr>
          <w:rFonts w:ascii="Times New Roman" w:hAnsi="Times New Roman" w:cs="Times New Roman"/>
          <w:sz w:val="24"/>
          <w:szCs w:val="24"/>
        </w:rPr>
        <w:lastRenderedPageBreak/>
        <w:t xml:space="preserve">While much of the concern about the ecological impacts of Hg is focused on dissolved </w:t>
      </w:r>
      <w:proofErr w:type="spellStart"/>
      <w:r w:rsidRPr="00A51B08">
        <w:rPr>
          <w:rFonts w:ascii="Times New Roman" w:hAnsi="Times New Roman" w:cs="Times New Roman"/>
          <w:sz w:val="24"/>
          <w:szCs w:val="24"/>
        </w:rPr>
        <w:t>MeHg</w:t>
      </w:r>
      <w:proofErr w:type="spellEnd"/>
      <w:r w:rsidRPr="00A51B08">
        <w:rPr>
          <w:rFonts w:ascii="Times New Roman" w:hAnsi="Times New Roman" w:cs="Times New Roman"/>
          <w:sz w:val="24"/>
          <w:szCs w:val="24"/>
        </w:rPr>
        <w:t>, total Hg (</w:t>
      </w:r>
      <w:proofErr w:type="spellStart"/>
      <w:r w:rsidRPr="00A51B08">
        <w:rPr>
          <w:rFonts w:ascii="Times New Roman" w:hAnsi="Times New Roman" w:cs="Times New Roman"/>
          <w:sz w:val="24"/>
          <w:szCs w:val="24"/>
        </w:rPr>
        <w:t>THg</w:t>
      </w:r>
      <w:proofErr w:type="spellEnd"/>
      <w:r w:rsidRPr="00A51B08">
        <w:rPr>
          <w:rFonts w:ascii="Times New Roman" w:hAnsi="Times New Roman" w:cs="Times New Roman"/>
          <w:sz w:val="24"/>
          <w:szCs w:val="24"/>
        </w:rPr>
        <w:t xml:space="preserve">) is also of general </w:t>
      </w:r>
      <w:proofErr w:type="gramStart"/>
      <w:r w:rsidRPr="00A51B08">
        <w:rPr>
          <w:rFonts w:ascii="Times New Roman" w:hAnsi="Times New Roman" w:cs="Times New Roman"/>
          <w:sz w:val="24"/>
          <w:szCs w:val="24"/>
        </w:rPr>
        <w:t>concern, and</w:t>
      </w:r>
      <w:proofErr w:type="gramEnd"/>
      <w:r w:rsidRPr="00A51B08">
        <w:rPr>
          <w:rFonts w:ascii="Times New Roman" w:hAnsi="Times New Roman" w:cs="Times New Roman"/>
          <w:sz w:val="24"/>
          <w:szCs w:val="24"/>
        </w:rPr>
        <w:t xml:space="preserve"> exhibits a reasonably strong positive linear relationship with DOC across multiple sites, seasons, and tidal cycles (e.g., </w:t>
      </w:r>
      <w:r w:rsidRPr="00A51B08">
        <w:rPr>
          <w:rFonts w:ascii="Times New Roman" w:hAnsi="Times New Roman" w:cs="Times New Roman"/>
          <w:b/>
          <w:sz w:val="24"/>
          <w:szCs w:val="24"/>
        </w:rPr>
        <w:t>Fig.6</w:t>
      </w:r>
      <w:r w:rsidRPr="00A51B08">
        <w:rPr>
          <w:rFonts w:ascii="Times New Roman" w:hAnsi="Times New Roman" w:cs="Times New Roman"/>
          <w:sz w:val="24"/>
          <w:szCs w:val="24"/>
        </w:rPr>
        <w:t>).</w:t>
      </w:r>
    </w:p>
    <w:p w:rsidR="005E0EAA" w:rsidRPr="00A51B08" w:rsidRDefault="005E0EAA" w:rsidP="005E0EAA">
      <w:pPr>
        <w:rPr>
          <w:rFonts w:ascii="Times New Roman" w:hAnsi="Times New Roman" w:cs="Times New Roman"/>
          <w:sz w:val="24"/>
          <w:szCs w:val="24"/>
        </w:rPr>
      </w:pPr>
    </w:p>
    <w:p w:rsidR="005E0EAA" w:rsidRPr="00A51B08" w:rsidRDefault="005E0EAA" w:rsidP="005E0EAA">
      <w:pPr>
        <w:rPr>
          <w:rFonts w:ascii="Times New Roman" w:hAnsi="Times New Roman" w:cs="Times New Roman"/>
          <w:sz w:val="24"/>
          <w:szCs w:val="24"/>
        </w:rPr>
      </w:pPr>
      <w:r w:rsidRPr="00A51B08">
        <w:rPr>
          <w:rFonts w:ascii="Times New Roman" w:hAnsi="Times New Roman" w:cs="Times New Roman"/>
          <w:noProof/>
          <w:sz w:val="24"/>
          <w:szCs w:val="24"/>
        </w:rPr>
        <w:drawing>
          <wp:anchor distT="0" distB="0" distL="114300" distR="114300" simplePos="0" relativeHeight="251664384" behindDoc="0" locked="0" layoutInCell="1" allowOverlap="1" wp14:anchorId="72647B77" wp14:editId="13E17C7E">
            <wp:simplePos x="0" y="0"/>
            <wp:positionH relativeFrom="margin">
              <wp:posOffset>47815</wp:posOffset>
            </wp:positionH>
            <wp:positionV relativeFrom="paragraph">
              <wp:posOffset>-197353</wp:posOffset>
            </wp:positionV>
            <wp:extent cx="4007816" cy="329184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THg vs DOC - OW Delta only b.png"/>
                    <pic:cNvPicPr/>
                  </pic:nvPicPr>
                  <pic:blipFill>
                    <a:blip r:embed="rId13">
                      <a:extLst>
                        <a:ext uri="{28A0092B-C50C-407E-A947-70E740481C1C}">
                          <a14:useLocalDpi xmlns:a14="http://schemas.microsoft.com/office/drawing/2010/main" val="0"/>
                        </a:ext>
                      </a:extLst>
                    </a:blip>
                    <a:stretch>
                      <a:fillRect/>
                    </a:stretch>
                  </pic:blipFill>
                  <pic:spPr>
                    <a:xfrm>
                      <a:off x="0" y="0"/>
                      <a:ext cx="4007816" cy="3291840"/>
                    </a:xfrm>
                    <a:prstGeom prst="rect">
                      <a:avLst/>
                    </a:prstGeom>
                  </pic:spPr>
                </pic:pic>
              </a:graphicData>
            </a:graphic>
            <wp14:sizeRelH relativeFrom="margin">
              <wp14:pctWidth>0</wp14:pctWidth>
            </wp14:sizeRelH>
            <wp14:sizeRelV relativeFrom="margin">
              <wp14:pctHeight>0</wp14:pctHeight>
            </wp14:sizeRelV>
          </wp:anchor>
        </w:drawing>
      </w:r>
      <w:r w:rsidRPr="00A51B08">
        <w:rPr>
          <w:rFonts w:ascii="Times New Roman" w:hAnsi="Times New Roman" w:cs="Times New Roman"/>
          <w:sz w:val="24"/>
          <w:szCs w:val="24"/>
        </w:rPr>
        <w:t xml:space="preserve"> </w:t>
      </w:r>
      <w:r w:rsidRPr="00A51B08">
        <w:rPr>
          <w:rFonts w:ascii="Times New Roman" w:hAnsi="Times New Roman" w:cs="Times New Roman"/>
          <w:b/>
          <w:sz w:val="24"/>
          <w:szCs w:val="24"/>
        </w:rPr>
        <w:t>Figure 6.</w:t>
      </w:r>
      <w:r w:rsidRPr="00A51B08">
        <w:rPr>
          <w:rFonts w:ascii="Times New Roman" w:hAnsi="Times New Roman" w:cs="Times New Roman"/>
          <w:sz w:val="24"/>
          <w:szCs w:val="24"/>
        </w:rPr>
        <w:t xml:space="preserve"> X-Y plot of filter-passing total mercury (</w:t>
      </w:r>
      <w:proofErr w:type="spellStart"/>
      <w:r w:rsidRPr="00A51B08">
        <w:rPr>
          <w:rFonts w:ascii="Times New Roman" w:hAnsi="Times New Roman" w:cs="Times New Roman"/>
          <w:sz w:val="24"/>
          <w:szCs w:val="24"/>
        </w:rPr>
        <w:t>f.THg</w:t>
      </w:r>
      <w:proofErr w:type="spellEnd"/>
      <w:r w:rsidRPr="00A51B08">
        <w:rPr>
          <w:rFonts w:ascii="Times New Roman" w:hAnsi="Times New Roman" w:cs="Times New Roman"/>
          <w:sz w:val="24"/>
          <w:szCs w:val="24"/>
        </w:rPr>
        <w:t>) vs. dissolved organic carbon (DOC) for 3 open-water (only) sampling locations (Brown’s Island, Liberty Island, and Grizzly Bay) within the Delta, collected during April 2005 - June 2011. These data come from multiple sampling events, seasons, and tidal conditions. Unpublished Data, J. Fleck (USGS, Sacramento, CA).</w:t>
      </w:r>
    </w:p>
    <w:p w:rsidR="005E0EAA" w:rsidRPr="00A51B08" w:rsidRDefault="005E0EAA" w:rsidP="005E0EAA">
      <w:pPr>
        <w:rPr>
          <w:rFonts w:ascii="Times New Roman" w:hAnsi="Times New Roman" w:cs="Times New Roman"/>
          <w:sz w:val="24"/>
          <w:szCs w:val="24"/>
        </w:rPr>
      </w:pPr>
    </w:p>
    <w:p w:rsidR="005E0EAA" w:rsidRPr="00A51B08" w:rsidRDefault="005E0EAA" w:rsidP="005E0EAA">
      <w:pPr>
        <w:rPr>
          <w:rFonts w:ascii="Times New Roman" w:hAnsi="Times New Roman" w:cs="Times New Roman"/>
          <w:b/>
          <w:sz w:val="24"/>
          <w:szCs w:val="24"/>
        </w:rPr>
      </w:pPr>
    </w:p>
    <w:p w:rsidR="005E0EAA" w:rsidRPr="00A51B08" w:rsidRDefault="005E0EAA" w:rsidP="005E0EAA">
      <w:pPr>
        <w:outlineLvl w:val="0"/>
        <w:rPr>
          <w:rFonts w:ascii="Times New Roman" w:hAnsi="Times New Roman" w:cs="Times New Roman"/>
          <w:b/>
          <w:sz w:val="24"/>
          <w:szCs w:val="24"/>
        </w:rPr>
      </w:pPr>
      <w:r w:rsidRPr="00A51B08">
        <w:rPr>
          <w:rFonts w:ascii="Times New Roman" w:hAnsi="Times New Roman" w:cs="Times New Roman"/>
          <w:b/>
          <w:sz w:val="24"/>
          <w:szCs w:val="24"/>
        </w:rPr>
        <w:t>Hg Relationships with Particulates</w:t>
      </w:r>
    </w:p>
    <w:p w:rsidR="005E0EAA" w:rsidRPr="00A51B08" w:rsidRDefault="005E0EAA" w:rsidP="005E0EAA">
      <w:pPr>
        <w:rPr>
          <w:rFonts w:ascii="Times New Roman" w:hAnsi="Times New Roman" w:cs="Times New Roman"/>
          <w:sz w:val="24"/>
          <w:szCs w:val="24"/>
        </w:rPr>
      </w:pPr>
      <w:r w:rsidRPr="00A51B08">
        <w:rPr>
          <w:rFonts w:ascii="Times New Roman" w:hAnsi="Times New Roman" w:cs="Times New Roman"/>
          <w:sz w:val="24"/>
          <w:szCs w:val="24"/>
        </w:rPr>
        <w:t xml:space="preserve">Because much of the mercury transported into the Delta exists in the particulate form (Domagalski 2001), high spatial resolution data associated with particulate Hg are needed to develop a more comprehensive understanding of the Hg transport in the system. For the base of the food web, </w:t>
      </w:r>
      <w:proofErr w:type="spellStart"/>
      <w:r w:rsidRPr="00A51B08">
        <w:rPr>
          <w:rFonts w:ascii="Times New Roman" w:hAnsi="Times New Roman" w:cs="Times New Roman"/>
          <w:sz w:val="24"/>
          <w:szCs w:val="24"/>
        </w:rPr>
        <w:t>MeHg</w:t>
      </w:r>
      <w:proofErr w:type="spellEnd"/>
      <w:r w:rsidRPr="00A51B08">
        <w:rPr>
          <w:rFonts w:ascii="Times New Roman" w:hAnsi="Times New Roman" w:cs="Times New Roman"/>
          <w:sz w:val="24"/>
          <w:szCs w:val="24"/>
        </w:rPr>
        <w:t xml:space="preserve"> concentration on a mass basis (i.e. ng/g dry </w:t>
      </w:r>
      <w:proofErr w:type="spellStart"/>
      <w:r w:rsidRPr="00A51B08">
        <w:rPr>
          <w:rFonts w:ascii="Times New Roman" w:hAnsi="Times New Roman" w:cs="Times New Roman"/>
          <w:sz w:val="24"/>
          <w:szCs w:val="24"/>
        </w:rPr>
        <w:t>wt</w:t>
      </w:r>
      <w:proofErr w:type="spellEnd"/>
      <w:r w:rsidRPr="00A51B08">
        <w:rPr>
          <w:rFonts w:ascii="Times New Roman" w:hAnsi="Times New Roman" w:cs="Times New Roman"/>
          <w:sz w:val="24"/>
          <w:szCs w:val="24"/>
        </w:rPr>
        <w:t xml:space="preserve"> of total particulates) may be more important than on a volumetric basis (ng/L), particularly at the level of primary consumers (e.g. zooplankton). The relationship between TSS and both </w:t>
      </w:r>
      <w:proofErr w:type="spellStart"/>
      <w:r w:rsidRPr="00A51B08">
        <w:rPr>
          <w:rFonts w:ascii="Times New Roman" w:hAnsi="Times New Roman" w:cs="Times New Roman"/>
          <w:sz w:val="24"/>
          <w:szCs w:val="24"/>
        </w:rPr>
        <w:t>p.MeHg</w:t>
      </w:r>
      <w:proofErr w:type="spellEnd"/>
      <w:r w:rsidRPr="00A51B08">
        <w:rPr>
          <w:rFonts w:ascii="Times New Roman" w:hAnsi="Times New Roman" w:cs="Times New Roman"/>
          <w:sz w:val="24"/>
          <w:szCs w:val="24"/>
        </w:rPr>
        <w:t xml:space="preserve"> and </w:t>
      </w:r>
      <w:proofErr w:type="spellStart"/>
      <w:r w:rsidRPr="00A51B08">
        <w:rPr>
          <w:rFonts w:ascii="Times New Roman" w:hAnsi="Times New Roman" w:cs="Times New Roman"/>
          <w:sz w:val="24"/>
          <w:szCs w:val="24"/>
        </w:rPr>
        <w:t>p.THg</w:t>
      </w:r>
      <w:proofErr w:type="spellEnd"/>
      <w:r w:rsidRPr="00A51B08">
        <w:rPr>
          <w:rFonts w:ascii="Times New Roman" w:hAnsi="Times New Roman" w:cs="Times New Roman"/>
          <w:sz w:val="24"/>
          <w:szCs w:val="24"/>
        </w:rPr>
        <w:t xml:space="preserve"> is particularly useful in this regard, and these relationships can be quite robust and stable. For example, </w:t>
      </w:r>
      <w:r w:rsidRPr="00A51B08">
        <w:rPr>
          <w:rFonts w:ascii="Times New Roman" w:hAnsi="Times New Roman" w:cs="Times New Roman"/>
          <w:b/>
          <w:sz w:val="24"/>
          <w:szCs w:val="24"/>
        </w:rPr>
        <w:t>Fig. 7</w:t>
      </w:r>
      <w:r w:rsidRPr="00A51B08">
        <w:rPr>
          <w:rFonts w:ascii="Times New Roman" w:hAnsi="Times New Roman" w:cs="Times New Roman"/>
          <w:sz w:val="24"/>
          <w:szCs w:val="24"/>
        </w:rPr>
        <w:t xml:space="preserve"> shows the results from an 8-year Hg monitoring study in South San Francisco Bay. </w:t>
      </w:r>
      <w:r w:rsidRPr="00A51B08">
        <w:rPr>
          <w:rFonts w:ascii="Times New Roman" w:hAnsi="Times New Roman" w:cs="Times New Roman"/>
          <w:b/>
          <w:sz w:val="24"/>
          <w:szCs w:val="24"/>
        </w:rPr>
        <w:t>Fig. 7</w:t>
      </w:r>
      <w:r w:rsidRPr="00A51B08">
        <w:rPr>
          <w:rFonts w:ascii="Times New Roman" w:hAnsi="Times New Roman" w:cs="Times New Roman"/>
          <w:sz w:val="24"/>
          <w:szCs w:val="24"/>
        </w:rPr>
        <w:t xml:space="preserve"> shows that the lowest TSS concentrations (more quiescent conditions) have the highest gravimetric </w:t>
      </w:r>
      <w:proofErr w:type="spellStart"/>
      <w:r w:rsidRPr="00A51B08">
        <w:rPr>
          <w:rFonts w:ascii="Times New Roman" w:hAnsi="Times New Roman" w:cs="Times New Roman"/>
          <w:sz w:val="24"/>
          <w:szCs w:val="24"/>
        </w:rPr>
        <w:t>p.THg</w:t>
      </w:r>
      <w:proofErr w:type="spellEnd"/>
      <w:r w:rsidRPr="00A51B08">
        <w:rPr>
          <w:rFonts w:ascii="Times New Roman" w:hAnsi="Times New Roman" w:cs="Times New Roman"/>
          <w:sz w:val="24"/>
          <w:szCs w:val="24"/>
        </w:rPr>
        <w:t xml:space="preserve"> and </w:t>
      </w:r>
      <w:proofErr w:type="spellStart"/>
      <w:r w:rsidRPr="00A51B08">
        <w:rPr>
          <w:rFonts w:ascii="Times New Roman" w:hAnsi="Times New Roman" w:cs="Times New Roman"/>
          <w:sz w:val="24"/>
          <w:szCs w:val="24"/>
        </w:rPr>
        <w:t>p.MeHg</w:t>
      </w:r>
      <w:proofErr w:type="spellEnd"/>
      <w:r w:rsidRPr="00A51B08">
        <w:rPr>
          <w:rFonts w:ascii="Times New Roman" w:hAnsi="Times New Roman" w:cs="Times New Roman"/>
          <w:sz w:val="24"/>
          <w:szCs w:val="24"/>
        </w:rPr>
        <w:t xml:space="preserve"> concentrations in this region. This case also highlights a situation in which discrete samples were collected from one location or area (upper and lower Alviso Slough in this case) over many dates (always within 2 hours of daytime high tide) to establish a useful predictive relationship for particulate Hg species based on TSS. </w:t>
      </w:r>
    </w:p>
    <w:p w:rsidR="005E0EAA" w:rsidRPr="00A51B08" w:rsidRDefault="005E0EAA" w:rsidP="005E0EAA">
      <w:pPr>
        <w:rPr>
          <w:rFonts w:ascii="Times New Roman" w:hAnsi="Times New Roman" w:cs="Times New Roman"/>
          <w:sz w:val="24"/>
          <w:szCs w:val="24"/>
        </w:rPr>
      </w:pPr>
    </w:p>
    <w:p w:rsidR="005E0EAA" w:rsidRPr="00A51B08" w:rsidRDefault="005E0EAA" w:rsidP="005E0EAA">
      <w:pPr>
        <w:rPr>
          <w:rFonts w:ascii="Times New Roman" w:hAnsi="Times New Roman" w:cs="Times New Roman"/>
          <w:sz w:val="24"/>
          <w:szCs w:val="24"/>
        </w:rPr>
      </w:pPr>
      <w:r w:rsidRPr="00A51B08">
        <w:rPr>
          <w:rFonts w:ascii="Times New Roman" w:hAnsi="Times New Roman" w:cs="Times New Roman"/>
          <w:noProof/>
          <w:sz w:val="24"/>
          <w:szCs w:val="24"/>
        </w:rPr>
        <w:lastRenderedPageBreak/>
        <w:drawing>
          <wp:inline distT="0" distB="0" distL="0" distR="0" wp14:anchorId="4C71B5C7" wp14:editId="4157827D">
            <wp:extent cx="2971800" cy="256946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BSP p.THg.mass vs TSS.png"/>
                    <pic:cNvPicPr/>
                  </pic:nvPicPr>
                  <pic:blipFill>
                    <a:blip r:embed="rId14">
                      <a:extLst>
                        <a:ext uri="{28A0092B-C50C-407E-A947-70E740481C1C}">
                          <a14:useLocalDpi xmlns:a14="http://schemas.microsoft.com/office/drawing/2010/main" val="0"/>
                        </a:ext>
                      </a:extLst>
                    </a:blip>
                    <a:stretch>
                      <a:fillRect/>
                    </a:stretch>
                  </pic:blipFill>
                  <pic:spPr>
                    <a:xfrm>
                      <a:off x="0" y="0"/>
                      <a:ext cx="2971800" cy="2569464"/>
                    </a:xfrm>
                    <a:prstGeom prst="rect">
                      <a:avLst/>
                    </a:prstGeom>
                  </pic:spPr>
                </pic:pic>
              </a:graphicData>
            </a:graphic>
          </wp:inline>
        </w:drawing>
      </w:r>
      <w:r w:rsidRPr="00A51B08">
        <w:rPr>
          <w:rFonts w:ascii="Times New Roman" w:hAnsi="Times New Roman" w:cs="Times New Roman"/>
          <w:noProof/>
          <w:sz w:val="24"/>
          <w:szCs w:val="24"/>
        </w:rPr>
        <w:drawing>
          <wp:inline distT="0" distB="0" distL="0" distR="0" wp14:anchorId="5535BE2A" wp14:editId="09CD3969">
            <wp:extent cx="2962656" cy="256032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BSP p.MeHg.mass vs TSS.png"/>
                    <pic:cNvPicPr/>
                  </pic:nvPicPr>
                  <pic:blipFill>
                    <a:blip r:embed="rId15">
                      <a:extLst>
                        <a:ext uri="{28A0092B-C50C-407E-A947-70E740481C1C}">
                          <a14:useLocalDpi xmlns:a14="http://schemas.microsoft.com/office/drawing/2010/main" val="0"/>
                        </a:ext>
                      </a:extLst>
                    </a:blip>
                    <a:stretch>
                      <a:fillRect/>
                    </a:stretch>
                  </pic:blipFill>
                  <pic:spPr>
                    <a:xfrm>
                      <a:off x="0" y="0"/>
                      <a:ext cx="2962656" cy="2560320"/>
                    </a:xfrm>
                    <a:prstGeom prst="rect">
                      <a:avLst/>
                    </a:prstGeom>
                  </pic:spPr>
                </pic:pic>
              </a:graphicData>
            </a:graphic>
          </wp:inline>
        </w:drawing>
      </w:r>
    </w:p>
    <w:p w:rsidR="005E0EAA" w:rsidRPr="00A51B08" w:rsidRDefault="005E0EAA" w:rsidP="005E0EAA">
      <w:pPr>
        <w:rPr>
          <w:rFonts w:ascii="Times New Roman" w:hAnsi="Times New Roman" w:cs="Times New Roman"/>
          <w:sz w:val="24"/>
          <w:szCs w:val="24"/>
        </w:rPr>
      </w:pPr>
      <w:r w:rsidRPr="00A51B08">
        <w:rPr>
          <w:rFonts w:ascii="Times New Roman" w:hAnsi="Times New Roman" w:cs="Times New Roman"/>
          <w:b/>
          <w:sz w:val="24"/>
          <w:szCs w:val="24"/>
        </w:rPr>
        <w:t>Figure 7.</w:t>
      </w:r>
      <w:r w:rsidRPr="00A51B08">
        <w:rPr>
          <w:rFonts w:ascii="Times New Roman" w:hAnsi="Times New Roman" w:cs="Times New Roman"/>
          <w:sz w:val="24"/>
          <w:szCs w:val="24"/>
        </w:rPr>
        <w:t xml:space="preserve"> LOG-LOG plot of the relationship between surface-water A) gravimetric particulate </w:t>
      </w:r>
      <w:proofErr w:type="spellStart"/>
      <w:r w:rsidRPr="00A51B08">
        <w:rPr>
          <w:rFonts w:ascii="Times New Roman" w:hAnsi="Times New Roman" w:cs="Times New Roman"/>
          <w:sz w:val="24"/>
          <w:szCs w:val="24"/>
        </w:rPr>
        <w:t>THg</w:t>
      </w:r>
      <w:proofErr w:type="spellEnd"/>
      <w:r w:rsidRPr="00A51B08">
        <w:rPr>
          <w:rFonts w:ascii="Times New Roman" w:hAnsi="Times New Roman" w:cs="Times New Roman"/>
          <w:sz w:val="24"/>
          <w:szCs w:val="24"/>
        </w:rPr>
        <w:t xml:space="preserve"> (</w:t>
      </w:r>
      <w:proofErr w:type="spellStart"/>
      <w:r w:rsidRPr="00A51B08">
        <w:rPr>
          <w:rFonts w:ascii="Times New Roman" w:hAnsi="Times New Roman" w:cs="Times New Roman"/>
          <w:sz w:val="24"/>
          <w:szCs w:val="24"/>
        </w:rPr>
        <w:t>p.THg</w:t>
      </w:r>
      <w:proofErr w:type="spellEnd"/>
      <w:r w:rsidRPr="00A51B08">
        <w:rPr>
          <w:rFonts w:ascii="Times New Roman" w:hAnsi="Times New Roman" w:cs="Times New Roman"/>
          <w:sz w:val="24"/>
          <w:szCs w:val="24"/>
        </w:rPr>
        <w:t>) and total suspended solids (TSS) and B) gravimetric particulate methylmercury (</w:t>
      </w:r>
      <w:proofErr w:type="spellStart"/>
      <w:r w:rsidRPr="00A51B08">
        <w:rPr>
          <w:rFonts w:ascii="Times New Roman" w:hAnsi="Times New Roman" w:cs="Times New Roman"/>
          <w:sz w:val="24"/>
          <w:szCs w:val="24"/>
        </w:rPr>
        <w:t>p.MeHg</w:t>
      </w:r>
      <w:proofErr w:type="spellEnd"/>
      <w:r w:rsidRPr="00A51B08">
        <w:rPr>
          <w:rFonts w:ascii="Times New Roman" w:hAnsi="Times New Roman" w:cs="Times New Roman"/>
          <w:sz w:val="24"/>
          <w:szCs w:val="24"/>
        </w:rPr>
        <w:t xml:space="preserve">) and TSS, in upper (red symbols) and lower (blue symbols) Alviso Slough (South San Francisco Bay, CA). Samples were collected on 38 dates between April 2010 and February 2018, with the collection time always targeted during ebb tide (within 2 </w:t>
      </w:r>
      <w:proofErr w:type="spellStart"/>
      <w:r w:rsidRPr="00A51B08">
        <w:rPr>
          <w:rFonts w:ascii="Times New Roman" w:hAnsi="Times New Roman" w:cs="Times New Roman"/>
          <w:sz w:val="24"/>
          <w:szCs w:val="24"/>
        </w:rPr>
        <w:t>hrs</w:t>
      </w:r>
      <w:proofErr w:type="spellEnd"/>
      <w:r w:rsidRPr="00A51B08">
        <w:rPr>
          <w:rFonts w:ascii="Times New Roman" w:hAnsi="Times New Roman" w:cs="Times New Roman"/>
          <w:sz w:val="24"/>
          <w:szCs w:val="24"/>
        </w:rPr>
        <w:t xml:space="preserve"> of daytime high tide). Unpublished data: M. Marvin-DiPasquale (USGS, Menlo Park CA).</w:t>
      </w:r>
    </w:p>
    <w:p w:rsidR="005E0EAA" w:rsidRPr="00A51B08" w:rsidRDefault="005E0EAA" w:rsidP="005E0EAA">
      <w:pPr>
        <w:rPr>
          <w:rFonts w:ascii="Times New Roman" w:hAnsi="Times New Roman" w:cs="Times New Roman"/>
          <w:sz w:val="24"/>
          <w:szCs w:val="24"/>
        </w:rPr>
      </w:pPr>
      <w:r w:rsidRPr="00A51B08">
        <w:rPr>
          <w:rFonts w:ascii="Times New Roman" w:hAnsi="Times New Roman" w:cs="Times New Roman"/>
          <w:sz w:val="24"/>
          <w:szCs w:val="24"/>
        </w:rPr>
        <w:t xml:space="preserve">Another example of the type of data generated at a fixed location, but at a higher sampling frequency, is shown in </w:t>
      </w:r>
      <w:r w:rsidRPr="00A51B08">
        <w:rPr>
          <w:rFonts w:ascii="Times New Roman" w:hAnsi="Times New Roman" w:cs="Times New Roman"/>
          <w:b/>
          <w:sz w:val="24"/>
          <w:szCs w:val="24"/>
        </w:rPr>
        <w:t>Fig. 8</w:t>
      </w:r>
      <w:r w:rsidRPr="00A51B08">
        <w:rPr>
          <w:rFonts w:ascii="Times New Roman" w:hAnsi="Times New Roman" w:cs="Times New Roman"/>
          <w:sz w:val="24"/>
          <w:szCs w:val="24"/>
        </w:rPr>
        <w:t>. In this case, samples were collected every hour for a 24-hour period (two full tidal cycles) during five different sampling events. Sampling events were conducted seasonally (May 2012 - February 2013) and during the 1</w:t>
      </w:r>
      <w:r w:rsidRPr="00A51B08">
        <w:rPr>
          <w:rFonts w:ascii="Times New Roman" w:hAnsi="Times New Roman" w:cs="Times New Roman"/>
          <w:sz w:val="24"/>
          <w:szCs w:val="24"/>
          <w:vertAlign w:val="superscript"/>
        </w:rPr>
        <w:t>st</w:t>
      </w:r>
      <w:r w:rsidRPr="00A51B08">
        <w:rPr>
          <w:rFonts w:ascii="Times New Roman" w:hAnsi="Times New Roman" w:cs="Times New Roman"/>
          <w:sz w:val="24"/>
          <w:szCs w:val="24"/>
        </w:rPr>
        <w:t xml:space="preserve"> flush event (December 2012). With the exception of summer (JUL 2012), the results demonstrate a good relationship between particulate </w:t>
      </w:r>
      <w:proofErr w:type="spellStart"/>
      <w:r w:rsidRPr="00A51B08">
        <w:rPr>
          <w:rFonts w:ascii="Times New Roman" w:hAnsi="Times New Roman" w:cs="Times New Roman"/>
          <w:sz w:val="24"/>
          <w:szCs w:val="24"/>
        </w:rPr>
        <w:t>MeHg</w:t>
      </w:r>
      <w:proofErr w:type="spellEnd"/>
      <w:r w:rsidRPr="00A51B08">
        <w:rPr>
          <w:rFonts w:ascii="Times New Roman" w:hAnsi="Times New Roman" w:cs="Times New Roman"/>
          <w:sz w:val="24"/>
          <w:szCs w:val="24"/>
        </w:rPr>
        <w:t xml:space="preserve"> (on a volumetric basis) and TSS throughout each 24-hour cycle (regardless of tidal stage). The XY relationship was similar among 4 of the 5 events (similar slope), despite the range in TSS among the five periods. This example is illustrative of the fact that the relationship between the volumetric concentration of </w:t>
      </w:r>
      <w:proofErr w:type="spellStart"/>
      <w:r w:rsidRPr="00A51B08">
        <w:rPr>
          <w:rFonts w:ascii="Times New Roman" w:hAnsi="Times New Roman" w:cs="Times New Roman"/>
          <w:sz w:val="24"/>
          <w:szCs w:val="24"/>
        </w:rPr>
        <w:t>p.MeHg</w:t>
      </w:r>
      <w:proofErr w:type="spellEnd"/>
      <w:r w:rsidRPr="00A51B08">
        <w:rPr>
          <w:rFonts w:ascii="Times New Roman" w:hAnsi="Times New Roman" w:cs="Times New Roman"/>
          <w:sz w:val="24"/>
          <w:szCs w:val="24"/>
        </w:rPr>
        <w:t xml:space="preserve"> and water column particulates (TSS) over the timescale of tidal cycles may also have a seasonal component, with tight relationships during most of the year and a less robust relationships during others (e.g. summer). Statistically resolving these temporal components at both scales simultaneously, using a multivariate modeling approach, is an expressed goal of this project.</w:t>
      </w:r>
    </w:p>
    <w:p w:rsidR="005E0EAA" w:rsidRPr="00A51B08" w:rsidRDefault="005E0EAA" w:rsidP="005E0EAA">
      <w:pPr>
        <w:rPr>
          <w:rFonts w:ascii="Times New Roman" w:hAnsi="Times New Roman" w:cs="Times New Roman"/>
          <w:sz w:val="24"/>
          <w:szCs w:val="24"/>
        </w:rPr>
      </w:pPr>
      <w:r w:rsidRPr="00A51B08">
        <w:rPr>
          <w:rFonts w:ascii="Times New Roman" w:hAnsi="Times New Roman" w:cs="Times New Roman"/>
          <w:noProof/>
          <w:sz w:val="24"/>
          <w:szCs w:val="24"/>
        </w:rPr>
        <w:lastRenderedPageBreak/>
        <w:drawing>
          <wp:inline distT="0" distB="0" distL="0" distR="0" wp14:anchorId="2120370E" wp14:editId="6BECD99E">
            <wp:extent cx="5943600" cy="4390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390390"/>
                    </a:xfrm>
                    <a:prstGeom prst="rect">
                      <a:avLst/>
                    </a:prstGeom>
                  </pic:spPr>
                </pic:pic>
              </a:graphicData>
            </a:graphic>
          </wp:inline>
        </w:drawing>
      </w:r>
    </w:p>
    <w:p w:rsidR="005E0EAA" w:rsidRPr="00A51B08" w:rsidRDefault="005E0EAA" w:rsidP="005E0EAA">
      <w:pPr>
        <w:rPr>
          <w:rFonts w:ascii="Times New Roman" w:hAnsi="Times New Roman" w:cs="Times New Roman"/>
          <w:sz w:val="24"/>
          <w:szCs w:val="24"/>
        </w:rPr>
      </w:pPr>
      <w:r w:rsidRPr="00A51B08">
        <w:rPr>
          <w:rFonts w:ascii="Times New Roman" w:hAnsi="Times New Roman" w:cs="Times New Roman"/>
          <w:b/>
          <w:sz w:val="24"/>
          <w:szCs w:val="24"/>
        </w:rPr>
        <w:t>Figure 8.</w:t>
      </w:r>
      <w:r w:rsidRPr="00A51B08">
        <w:rPr>
          <w:rFonts w:ascii="Times New Roman" w:hAnsi="Times New Roman" w:cs="Times New Roman"/>
          <w:sz w:val="24"/>
          <w:szCs w:val="24"/>
        </w:rPr>
        <w:t xml:space="preserve"> Multi-panel plot of the relationship between volumetric particulate methylmercury (</w:t>
      </w:r>
      <w:proofErr w:type="spellStart"/>
      <w:r w:rsidRPr="00A51B08">
        <w:rPr>
          <w:rFonts w:ascii="Times New Roman" w:hAnsi="Times New Roman" w:cs="Times New Roman"/>
          <w:sz w:val="24"/>
          <w:szCs w:val="24"/>
        </w:rPr>
        <w:t>p.MeHg.vol</w:t>
      </w:r>
      <w:proofErr w:type="spellEnd"/>
      <w:r w:rsidRPr="00A51B08">
        <w:rPr>
          <w:rFonts w:ascii="Times New Roman" w:hAnsi="Times New Roman" w:cs="Times New Roman"/>
          <w:sz w:val="24"/>
          <w:szCs w:val="24"/>
        </w:rPr>
        <w:t>) and total suspended solids (TSS), by sampling event. Each event was 24 hours in duration (two tidal cycles) with a single sample collected every hour from a fixed site (ALSL-3) in Alviso Slough (South San Francisco Bay, CA). Unpublished data: M. Marvin-DiPasquale (USGS, Menlo Park CA).</w:t>
      </w:r>
    </w:p>
    <w:p w:rsidR="005E0EAA" w:rsidRPr="00A51B08" w:rsidRDefault="005E0EAA" w:rsidP="005E0EAA">
      <w:pPr>
        <w:rPr>
          <w:rFonts w:ascii="Times New Roman" w:hAnsi="Times New Roman" w:cs="Times New Roman"/>
          <w:sz w:val="24"/>
          <w:szCs w:val="24"/>
        </w:rPr>
      </w:pPr>
    </w:p>
    <w:p w:rsidR="005E0EAA" w:rsidRPr="00A51B08" w:rsidRDefault="005E0EAA" w:rsidP="005E0EAA">
      <w:pPr>
        <w:outlineLvl w:val="0"/>
        <w:rPr>
          <w:rFonts w:ascii="Times New Roman" w:hAnsi="Times New Roman" w:cs="Times New Roman"/>
          <w:b/>
          <w:sz w:val="24"/>
          <w:szCs w:val="24"/>
        </w:rPr>
      </w:pPr>
      <w:r w:rsidRPr="00A51B08">
        <w:rPr>
          <w:rFonts w:ascii="Times New Roman" w:hAnsi="Times New Roman" w:cs="Times New Roman"/>
          <w:b/>
          <w:sz w:val="24"/>
          <w:szCs w:val="24"/>
        </w:rPr>
        <w:t>Relationships with chlorophyll</w:t>
      </w:r>
    </w:p>
    <w:p w:rsidR="005E0EAA" w:rsidRPr="00A51B08" w:rsidRDefault="005E0EAA" w:rsidP="005E0EAA">
      <w:pPr>
        <w:rPr>
          <w:rFonts w:ascii="Times New Roman" w:hAnsi="Times New Roman" w:cs="Times New Roman"/>
          <w:sz w:val="24"/>
          <w:szCs w:val="24"/>
        </w:rPr>
      </w:pPr>
      <w:r w:rsidRPr="00A51B08">
        <w:rPr>
          <w:rFonts w:ascii="Times New Roman" w:hAnsi="Times New Roman" w:cs="Times New Roman"/>
          <w:sz w:val="24"/>
          <w:szCs w:val="24"/>
        </w:rPr>
        <w:t xml:space="preserve">Although we expect relationships between the four main Hg species of interest and chlorophyll to be weaker than the four key relationships we have identified above, we will conduct a cursory assessment of Hg and </w:t>
      </w:r>
      <w:proofErr w:type="spellStart"/>
      <w:r w:rsidRPr="00A51B08">
        <w:rPr>
          <w:rFonts w:ascii="Times New Roman" w:hAnsi="Times New Roman" w:cs="Times New Roman"/>
          <w:sz w:val="24"/>
          <w:szCs w:val="24"/>
        </w:rPr>
        <w:t>Chla</w:t>
      </w:r>
      <w:proofErr w:type="spellEnd"/>
      <w:r w:rsidRPr="00A51B08">
        <w:rPr>
          <w:rFonts w:ascii="Times New Roman" w:hAnsi="Times New Roman" w:cs="Times New Roman"/>
          <w:sz w:val="24"/>
          <w:szCs w:val="24"/>
        </w:rPr>
        <w:t xml:space="preserve"> relationships as well. However, regardless of how robust these Hg vs </w:t>
      </w:r>
      <w:proofErr w:type="spellStart"/>
      <w:r w:rsidRPr="00A51B08">
        <w:rPr>
          <w:rFonts w:ascii="Times New Roman" w:hAnsi="Times New Roman" w:cs="Times New Roman"/>
          <w:sz w:val="24"/>
          <w:szCs w:val="24"/>
        </w:rPr>
        <w:t>Chla</w:t>
      </w:r>
      <w:proofErr w:type="spellEnd"/>
      <w:r w:rsidRPr="00A51B08">
        <w:rPr>
          <w:rFonts w:ascii="Times New Roman" w:hAnsi="Times New Roman" w:cs="Times New Roman"/>
          <w:sz w:val="24"/>
          <w:szCs w:val="24"/>
        </w:rPr>
        <w:t xml:space="preserve"> relationships are, we will be able to create high-resolution spatial maps (from the transect data) and site-specific high-resolution temporal plots (from fixed monitoring data) of </w:t>
      </w:r>
      <w:proofErr w:type="spellStart"/>
      <w:r w:rsidRPr="00A51B08">
        <w:rPr>
          <w:rFonts w:ascii="Times New Roman" w:hAnsi="Times New Roman" w:cs="Times New Roman"/>
          <w:sz w:val="24"/>
          <w:szCs w:val="24"/>
        </w:rPr>
        <w:t>Chla</w:t>
      </w:r>
      <w:proofErr w:type="spellEnd"/>
      <w:r w:rsidRPr="00A51B08">
        <w:rPr>
          <w:rFonts w:ascii="Times New Roman" w:hAnsi="Times New Roman" w:cs="Times New Roman"/>
          <w:sz w:val="24"/>
          <w:szCs w:val="24"/>
        </w:rPr>
        <w:t>, based on the relationships between in-situ optical properties and lab-based measurements. The RS imagery-based mapping of algal pigments (</w:t>
      </w:r>
      <w:proofErr w:type="spellStart"/>
      <w:r w:rsidRPr="00A51B08">
        <w:rPr>
          <w:rFonts w:ascii="Times New Roman" w:hAnsi="Times New Roman" w:cs="Times New Roman"/>
          <w:sz w:val="24"/>
          <w:szCs w:val="24"/>
        </w:rPr>
        <w:t>Chla</w:t>
      </w:r>
      <w:proofErr w:type="spellEnd"/>
      <w:r w:rsidRPr="00A51B08">
        <w:rPr>
          <w:rFonts w:ascii="Times New Roman" w:hAnsi="Times New Roman" w:cs="Times New Roman"/>
          <w:sz w:val="24"/>
          <w:szCs w:val="24"/>
        </w:rPr>
        <w:t xml:space="preserve">) in the Delta is already an active area of research being undertaken by investigators E. </w:t>
      </w:r>
      <w:proofErr w:type="spellStart"/>
      <w:r w:rsidRPr="00A51B08">
        <w:rPr>
          <w:rFonts w:ascii="Times New Roman" w:hAnsi="Times New Roman" w:cs="Times New Roman"/>
          <w:sz w:val="24"/>
          <w:szCs w:val="24"/>
        </w:rPr>
        <w:t>Hestir</w:t>
      </w:r>
      <w:proofErr w:type="spellEnd"/>
      <w:r w:rsidRPr="00A51B08">
        <w:rPr>
          <w:rFonts w:ascii="Times New Roman" w:hAnsi="Times New Roman" w:cs="Times New Roman"/>
          <w:sz w:val="24"/>
          <w:szCs w:val="24"/>
        </w:rPr>
        <w:t xml:space="preserve"> and B. Bergamaschi as part of the above-mentioned multiagency project. This </w:t>
      </w:r>
      <w:proofErr w:type="spellStart"/>
      <w:r w:rsidRPr="00A51B08">
        <w:rPr>
          <w:rFonts w:ascii="Times New Roman" w:hAnsi="Times New Roman" w:cs="Times New Roman"/>
          <w:sz w:val="24"/>
          <w:szCs w:val="24"/>
        </w:rPr>
        <w:t>Chla</w:t>
      </w:r>
      <w:proofErr w:type="spellEnd"/>
      <w:r w:rsidRPr="00A51B08">
        <w:rPr>
          <w:rFonts w:ascii="Times New Roman" w:hAnsi="Times New Roman" w:cs="Times New Roman"/>
          <w:sz w:val="24"/>
          <w:szCs w:val="24"/>
        </w:rPr>
        <w:t xml:space="preserve"> specific data will be of extremely high value in understanding Hg processes in the Delta overall, as ecosystem variations in primary production can be a key driver and Hg biogeochemistry (</w:t>
      </w:r>
      <w:proofErr w:type="spellStart"/>
      <w:r w:rsidRPr="00A51B08">
        <w:rPr>
          <w:rFonts w:ascii="Times New Roman" w:eastAsia="Calibri" w:hAnsi="Times New Roman" w:cs="Times New Roman"/>
          <w:sz w:val="24"/>
          <w:szCs w:val="24"/>
        </w:rPr>
        <w:t>Luengen</w:t>
      </w:r>
      <w:proofErr w:type="spellEnd"/>
      <w:r w:rsidRPr="00A51B08">
        <w:rPr>
          <w:rFonts w:ascii="Times New Roman" w:eastAsia="Calibri" w:hAnsi="Times New Roman" w:cs="Times New Roman"/>
          <w:sz w:val="24"/>
          <w:szCs w:val="24"/>
        </w:rPr>
        <w:t xml:space="preserve"> and </w:t>
      </w:r>
      <w:proofErr w:type="spellStart"/>
      <w:r w:rsidRPr="00A51B08">
        <w:rPr>
          <w:rFonts w:ascii="Times New Roman" w:eastAsia="Calibri" w:hAnsi="Times New Roman" w:cs="Times New Roman"/>
          <w:sz w:val="24"/>
          <w:szCs w:val="24"/>
        </w:rPr>
        <w:t>Flegal</w:t>
      </w:r>
      <w:proofErr w:type="spellEnd"/>
      <w:r w:rsidRPr="00A51B08">
        <w:rPr>
          <w:rFonts w:ascii="Times New Roman" w:eastAsia="Calibri" w:hAnsi="Times New Roman" w:cs="Times New Roman"/>
          <w:sz w:val="24"/>
          <w:szCs w:val="24"/>
        </w:rPr>
        <w:t xml:space="preserve"> 2009</w:t>
      </w:r>
      <w:r w:rsidRPr="00A51B08">
        <w:rPr>
          <w:rFonts w:ascii="Times New Roman" w:hAnsi="Times New Roman" w:cs="Times New Roman"/>
          <w:sz w:val="24"/>
          <w:szCs w:val="24"/>
        </w:rPr>
        <w:t xml:space="preserve">). Particulate </w:t>
      </w:r>
      <w:proofErr w:type="spellStart"/>
      <w:r w:rsidRPr="00A51B08">
        <w:rPr>
          <w:rFonts w:ascii="Times New Roman" w:hAnsi="Times New Roman" w:cs="Times New Roman"/>
          <w:sz w:val="24"/>
          <w:szCs w:val="24"/>
        </w:rPr>
        <w:t>Chla</w:t>
      </w:r>
      <w:proofErr w:type="spellEnd"/>
      <w:r w:rsidRPr="00A51B08">
        <w:rPr>
          <w:rFonts w:ascii="Times New Roman" w:hAnsi="Times New Roman" w:cs="Times New Roman"/>
          <w:sz w:val="24"/>
          <w:szCs w:val="24"/>
        </w:rPr>
        <w:t xml:space="preserve"> can be </w:t>
      </w:r>
      <w:r w:rsidRPr="00A51B08">
        <w:rPr>
          <w:rFonts w:ascii="Times New Roman" w:hAnsi="Times New Roman" w:cs="Times New Roman"/>
          <w:sz w:val="24"/>
          <w:szCs w:val="24"/>
        </w:rPr>
        <w:lastRenderedPageBreak/>
        <w:t xml:space="preserve">indicative of both autochthonous (internal primary production) or allochthonous (terrestrial) sources of primary production. As such, this metric reflects an important organic component of the suspended particulate material in the water column, as the autotrophic base of the food web, the initial point of transfer of </w:t>
      </w:r>
      <w:proofErr w:type="spellStart"/>
      <w:r w:rsidRPr="00A51B08">
        <w:rPr>
          <w:rFonts w:ascii="Times New Roman" w:hAnsi="Times New Roman" w:cs="Times New Roman"/>
          <w:sz w:val="24"/>
          <w:szCs w:val="24"/>
        </w:rPr>
        <w:t>MeHg</w:t>
      </w:r>
      <w:proofErr w:type="spellEnd"/>
      <w:r w:rsidRPr="00A51B08">
        <w:rPr>
          <w:rFonts w:ascii="Times New Roman" w:hAnsi="Times New Roman" w:cs="Times New Roman"/>
          <w:sz w:val="24"/>
          <w:szCs w:val="24"/>
        </w:rPr>
        <w:t xml:space="preserve"> into the food web, and as potentially important surfaces on which water column </w:t>
      </w:r>
      <w:proofErr w:type="spellStart"/>
      <w:r w:rsidRPr="00A51B08">
        <w:rPr>
          <w:rFonts w:ascii="Times New Roman" w:hAnsi="Times New Roman" w:cs="Times New Roman"/>
          <w:sz w:val="24"/>
          <w:szCs w:val="24"/>
        </w:rPr>
        <w:t>MeHg</w:t>
      </w:r>
      <w:proofErr w:type="spellEnd"/>
      <w:r w:rsidRPr="00A51B08">
        <w:rPr>
          <w:rFonts w:ascii="Times New Roman" w:hAnsi="Times New Roman" w:cs="Times New Roman"/>
          <w:sz w:val="24"/>
          <w:szCs w:val="24"/>
        </w:rPr>
        <w:t xml:space="preserve"> production may take place (</w:t>
      </w:r>
      <w:proofErr w:type="spellStart"/>
      <w:r w:rsidRPr="00A51B08">
        <w:rPr>
          <w:rFonts w:ascii="Times New Roman" w:hAnsi="Times New Roman" w:cs="Times New Roman"/>
          <w:sz w:val="24"/>
          <w:szCs w:val="24"/>
        </w:rPr>
        <w:t>Gascón</w:t>
      </w:r>
      <w:proofErr w:type="spellEnd"/>
      <w:r w:rsidRPr="00A51B08">
        <w:rPr>
          <w:rFonts w:ascii="Times New Roman" w:hAnsi="Times New Roman" w:cs="Times New Roman"/>
          <w:sz w:val="24"/>
          <w:szCs w:val="24"/>
        </w:rPr>
        <w:t xml:space="preserve"> </w:t>
      </w:r>
      <w:proofErr w:type="spellStart"/>
      <w:r w:rsidRPr="00A51B08">
        <w:rPr>
          <w:rFonts w:ascii="Times New Roman" w:hAnsi="Times New Roman" w:cs="Times New Roman"/>
          <w:sz w:val="24"/>
          <w:szCs w:val="24"/>
        </w:rPr>
        <w:t>Díez</w:t>
      </w:r>
      <w:proofErr w:type="spellEnd"/>
      <w:r w:rsidRPr="00A51B08">
        <w:rPr>
          <w:rFonts w:ascii="Times New Roman" w:hAnsi="Times New Roman" w:cs="Times New Roman"/>
          <w:sz w:val="24"/>
          <w:szCs w:val="24"/>
        </w:rPr>
        <w:t xml:space="preserve"> et. al. 2016). </w:t>
      </w:r>
    </w:p>
    <w:p w:rsidR="005E0EAA" w:rsidRPr="00A51B08" w:rsidRDefault="005E0EAA" w:rsidP="005E0EAA">
      <w:pPr>
        <w:outlineLvl w:val="0"/>
        <w:rPr>
          <w:rFonts w:ascii="Times New Roman" w:hAnsi="Times New Roman" w:cs="Times New Roman"/>
          <w:b/>
          <w:sz w:val="24"/>
          <w:szCs w:val="24"/>
        </w:rPr>
      </w:pPr>
      <w:r w:rsidRPr="00A51B08">
        <w:rPr>
          <w:rFonts w:ascii="Times New Roman" w:hAnsi="Times New Roman" w:cs="Times New Roman"/>
          <w:sz w:val="24"/>
          <w:szCs w:val="24"/>
        </w:rPr>
        <w:t xml:space="preserve"> </w:t>
      </w:r>
      <w:r w:rsidRPr="00A51B08">
        <w:rPr>
          <w:rFonts w:ascii="Times New Roman" w:hAnsi="Times New Roman" w:cs="Times New Roman"/>
          <w:b/>
          <w:sz w:val="24"/>
          <w:szCs w:val="24"/>
        </w:rPr>
        <w:t>Optical data as proxies for high resolution Hg monitoring</w:t>
      </w:r>
    </w:p>
    <w:p w:rsidR="005E0EAA" w:rsidRPr="00A51B08" w:rsidRDefault="005E0EAA" w:rsidP="005E0EAA">
      <w:pPr>
        <w:rPr>
          <w:rFonts w:ascii="Times New Roman" w:hAnsi="Times New Roman" w:cs="Times New Roman"/>
          <w:sz w:val="24"/>
          <w:szCs w:val="24"/>
        </w:rPr>
      </w:pPr>
      <w:r w:rsidRPr="00A51B08">
        <w:rPr>
          <w:rFonts w:ascii="Times New Roman" w:hAnsi="Times New Roman" w:cs="Times New Roman"/>
          <w:sz w:val="24"/>
          <w:szCs w:val="24"/>
        </w:rPr>
        <w:t xml:space="preserve">Although the ambitious end goal of this project is to develop Delta-wide Hg and </w:t>
      </w:r>
      <w:proofErr w:type="spellStart"/>
      <w:r w:rsidRPr="00A51B08">
        <w:rPr>
          <w:rFonts w:ascii="Times New Roman" w:hAnsi="Times New Roman" w:cs="Times New Roman"/>
          <w:sz w:val="24"/>
          <w:szCs w:val="24"/>
        </w:rPr>
        <w:t>MeHg</w:t>
      </w:r>
      <w:proofErr w:type="spellEnd"/>
      <w:r w:rsidRPr="00A51B08">
        <w:rPr>
          <w:rFonts w:ascii="Times New Roman" w:hAnsi="Times New Roman" w:cs="Times New Roman"/>
          <w:sz w:val="24"/>
          <w:szCs w:val="24"/>
        </w:rPr>
        <w:t xml:space="preserve"> maps derived from remote-sensing images, the in-situ data acquired from the fixed monitoring locations and boat transects themselves will represent a major step forward in the quality and richness of Hg species data for the Delta. For each of the four fixed sites, we will be able to develop high-frequency time-series </w:t>
      </w:r>
      <w:proofErr w:type="spellStart"/>
      <w:r w:rsidRPr="00A51B08">
        <w:rPr>
          <w:rFonts w:ascii="Times New Roman" w:hAnsi="Times New Roman" w:cs="Times New Roman"/>
          <w:sz w:val="24"/>
          <w:szCs w:val="24"/>
        </w:rPr>
        <w:t>THg</w:t>
      </w:r>
      <w:proofErr w:type="spellEnd"/>
      <w:r w:rsidRPr="00A51B08">
        <w:rPr>
          <w:rFonts w:ascii="Times New Roman" w:hAnsi="Times New Roman" w:cs="Times New Roman"/>
          <w:sz w:val="24"/>
          <w:szCs w:val="24"/>
        </w:rPr>
        <w:t xml:space="preserve"> and </w:t>
      </w:r>
      <w:proofErr w:type="spellStart"/>
      <w:r w:rsidRPr="00A51B08">
        <w:rPr>
          <w:rFonts w:ascii="Times New Roman" w:hAnsi="Times New Roman" w:cs="Times New Roman"/>
          <w:sz w:val="24"/>
          <w:szCs w:val="24"/>
        </w:rPr>
        <w:t>MeHg</w:t>
      </w:r>
      <w:proofErr w:type="spellEnd"/>
      <w:r w:rsidRPr="00A51B08">
        <w:rPr>
          <w:rFonts w:ascii="Times New Roman" w:hAnsi="Times New Roman" w:cs="Times New Roman"/>
          <w:sz w:val="24"/>
          <w:szCs w:val="24"/>
        </w:rPr>
        <w:t xml:space="preserve"> plots based on the continuous monitoring sensors at each site. For each of the 15 planned spatial transects, we will be able to develop high-resolution spatial images along the transect routes, based on the boat-mounted optical sensors. Both of these approaches will yield powerful data sets that provide a more detailed and holistic view of Hg dynamics in this complex system that currently exists. An example of high spatial resolution transect data is given in </w:t>
      </w:r>
      <w:r w:rsidRPr="00A51B08">
        <w:rPr>
          <w:rFonts w:ascii="Times New Roman" w:hAnsi="Times New Roman" w:cs="Times New Roman"/>
          <w:b/>
          <w:sz w:val="24"/>
          <w:szCs w:val="24"/>
        </w:rPr>
        <w:t>Figure 9</w:t>
      </w:r>
      <w:r w:rsidRPr="00A51B08">
        <w:rPr>
          <w:rFonts w:ascii="Times New Roman" w:hAnsi="Times New Roman" w:cs="Times New Roman"/>
          <w:sz w:val="24"/>
          <w:szCs w:val="24"/>
        </w:rPr>
        <w:t xml:space="preserve">, which shows fluorescent dissolved organic matter (FDOM) concentrations mapped in a single day via in-situ optical sensors mounted to a boat. This image shows lower FDOM concentrations (blue) in the north and southeast Delta compared to the central and western Delta (red). With the development of a </w:t>
      </w:r>
      <w:proofErr w:type="spellStart"/>
      <w:r w:rsidRPr="00A51B08">
        <w:rPr>
          <w:rFonts w:ascii="Times New Roman" w:hAnsi="Times New Roman" w:cs="Times New Roman"/>
          <w:sz w:val="24"/>
          <w:szCs w:val="24"/>
        </w:rPr>
        <w:t>spatio</w:t>
      </w:r>
      <w:proofErr w:type="spellEnd"/>
      <w:r w:rsidRPr="00A51B08">
        <w:rPr>
          <w:rFonts w:ascii="Times New Roman" w:hAnsi="Times New Roman" w:cs="Times New Roman"/>
          <w:sz w:val="24"/>
          <w:szCs w:val="24"/>
        </w:rPr>
        <w:t xml:space="preserve">-temporal predictive model for Hg and </w:t>
      </w:r>
      <w:proofErr w:type="spellStart"/>
      <w:r w:rsidRPr="00A51B08">
        <w:rPr>
          <w:rFonts w:ascii="Times New Roman" w:hAnsi="Times New Roman" w:cs="Times New Roman"/>
          <w:sz w:val="24"/>
          <w:szCs w:val="24"/>
        </w:rPr>
        <w:t>MeHg</w:t>
      </w:r>
      <w:proofErr w:type="spellEnd"/>
      <w:r w:rsidRPr="00A51B08">
        <w:rPr>
          <w:rFonts w:ascii="Times New Roman" w:hAnsi="Times New Roman" w:cs="Times New Roman"/>
          <w:sz w:val="24"/>
          <w:szCs w:val="24"/>
        </w:rPr>
        <w:t xml:space="preserve"> from optical data, a map such as this depicting Hg species concentration as measured during a given boat transect could be created.</w:t>
      </w:r>
    </w:p>
    <w:p w:rsidR="005E0EAA" w:rsidRPr="00A51B08" w:rsidRDefault="005E0EAA" w:rsidP="005E0EAA">
      <w:pPr>
        <w:rPr>
          <w:rFonts w:ascii="Times New Roman" w:hAnsi="Times New Roman" w:cs="Times New Roman"/>
          <w:sz w:val="24"/>
          <w:szCs w:val="24"/>
        </w:rPr>
      </w:pPr>
      <w:r w:rsidRPr="00A51B08">
        <w:rPr>
          <w:rFonts w:ascii="Times New Roman" w:hAnsi="Times New Roman" w:cs="Times New Roman"/>
          <w:noProof/>
          <w:sz w:val="24"/>
          <w:szCs w:val="24"/>
        </w:rPr>
        <w:drawing>
          <wp:inline distT="0" distB="0" distL="0" distR="0" wp14:anchorId="786571D0" wp14:editId="66CC3CA9">
            <wp:extent cx="5943600" cy="3440430"/>
            <wp:effectExtent l="19050" t="19050" r="19050" b="266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440430"/>
                    </a:xfrm>
                    <a:prstGeom prst="rect">
                      <a:avLst/>
                    </a:prstGeom>
                    <a:ln>
                      <a:solidFill>
                        <a:schemeClr val="tx1"/>
                      </a:solidFill>
                    </a:ln>
                  </pic:spPr>
                </pic:pic>
              </a:graphicData>
            </a:graphic>
          </wp:inline>
        </w:drawing>
      </w:r>
    </w:p>
    <w:p w:rsidR="005E0EAA" w:rsidRPr="00A51B08" w:rsidRDefault="005E0EAA" w:rsidP="005E0EAA">
      <w:pPr>
        <w:rPr>
          <w:rFonts w:ascii="Times New Roman" w:hAnsi="Times New Roman" w:cs="Times New Roman"/>
          <w:sz w:val="24"/>
          <w:szCs w:val="24"/>
        </w:rPr>
      </w:pPr>
      <w:r w:rsidRPr="00A51B08">
        <w:rPr>
          <w:rFonts w:ascii="Times New Roman" w:hAnsi="Times New Roman" w:cs="Times New Roman"/>
          <w:b/>
          <w:sz w:val="24"/>
          <w:szCs w:val="24"/>
        </w:rPr>
        <w:lastRenderedPageBreak/>
        <w:t>Figure 9.</w:t>
      </w:r>
      <w:r w:rsidRPr="00A51B08">
        <w:rPr>
          <w:rFonts w:ascii="Times New Roman" w:hAnsi="Times New Roman" w:cs="Times New Roman"/>
          <w:sz w:val="24"/>
          <w:szCs w:val="24"/>
        </w:rPr>
        <w:t xml:space="preserve"> Map of the Sacramento – San Joaquin Delta showing fluorescent dissolved organic matter (FDOM) concentrations along a single boat transect conducted over an 8-hour period on May 16, 2018, as measured via an under way data collection system (Downing et al., 2016). Unpublished Data: B. Bergamaschi (USGS, Sacramento, CA). </w:t>
      </w:r>
    </w:p>
    <w:p w:rsidR="005E0EAA" w:rsidRPr="00A51B08" w:rsidRDefault="005E0EAA" w:rsidP="005E0EAA">
      <w:pPr>
        <w:outlineLvl w:val="0"/>
        <w:rPr>
          <w:rFonts w:ascii="Times New Roman" w:hAnsi="Times New Roman" w:cs="Times New Roman"/>
          <w:b/>
          <w:sz w:val="24"/>
          <w:szCs w:val="24"/>
        </w:rPr>
      </w:pPr>
      <w:r w:rsidRPr="00A51B08">
        <w:rPr>
          <w:rFonts w:ascii="Times New Roman" w:hAnsi="Times New Roman" w:cs="Times New Roman"/>
          <w:b/>
          <w:sz w:val="24"/>
          <w:szCs w:val="24"/>
        </w:rPr>
        <w:t>Addressing Variability and System Complexity</w:t>
      </w:r>
    </w:p>
    <w:p w:rsidR="005E0EAA" w:rsidRPr="00A51B08" w:rsidRDefault="005E0EAA" w:rsidP="005E0EAA">
      <w:pPr>
        <w:rPr>
          <w:rFonts w:ascii="Times New Roman" w:hAnsi="Times New Roman" w:cs="Times New Roman"/>
          <w:sz w:val="24"/>
          <w:szCs w:val="24"/>
        </w:rPr>
      </w:pPr>
      <w:r w:rsidRPr="00A51B08">
        <w:rPr>
          <w:rFonts w:ascii="Times New Roman" w:hAnsi="Times New Roman" w:cs="Times New Roman"/>
          <w:sz w:val="24"/>
          <w:szCs w:val="24"/>
        </w:rPr>
        <w:t xml:space="preserve">Results from previous studies lead us to hypothesize that Hg and non-Hg constituents co-vary significantly enough in the Delta for us to develop predictive models of Hg species from in-situ optical data (and potentially RS). However, it is evident that there is high spatial and temporal variability in the covariation between Hg and non-Hg constituents that precludes a simple, one-size-fits-all X-Y relationship robust enough to estimate specific Hg fractions across the Delta under all conditions. The sampling design of this study is intended to explicitly close this gap by combining both fixed station and transect sampling, coupled with high-resolution optical monitoring (both fixed station and via boat). This design will enable us to statistically resolve the temporal and spatial components embedded within the resulting data set. The first step in this process involves developing the explicit relationships along the spatial gradient for individual sampling events (following </w:t>
      </w:r>
      <w:r w:rsidRPr="00A51B08">
        <w:rPr>
          <w:rFonts w:ascii="Times New Roman" w:hAnsi="Times New Roman" w:cs="Times New Roman"/>
          <w:b/>
          <w:sz w:val="24"/>
          <w:szCs w:val="24"/>
        </w:rPr>
        <w:t>Fig. 1)</w:t>
      </w:r>
      <w:r w:rsidRPr="00A51B08">
        <w:rPr>
          <w:rFonts w:ascii="Times New Roman" w:hAnsi="Times New Roman" w:cs="Times New Roman"/>
          <w:sz w:val="24"/>
          <w:szCs w:val="24"/>
        </w:rPr>
        <w:t xml:space="preserve"> and the relationships for individual fixed locations around the bay periphery sampled over two time scales (seasonal to hourly) (following </w:t>
      </w:r>
      <w:r w:rsidRPr="00A51B08">
        <w:rPr>
          <w:rFonts w:ascii="Times New Roman" w:hAnsi="Times New Roman" w:cs="Times New Roman"/>
          <w:b/>
          <w:sz w:val="24"/>
          <w:szCs w:val="24"/>
        </w:rPr>
        <w:t>Figs. 7 and 8</w:t>
      </w:r>
      <w:r w:rsidRPr="00A51B08">
        <w:rPr>
          <w:rFonts w:ascii="Times New Roman" w:hAnsi="Times New Roman" w:cs="Times New Roman"/>
          <w:sz w:val="24"/>
          <w:szCs w:val="24"/>
        </w:rPr>
        <w:t xml:space="preserve">). This is followed by an assessment of variability of the field data within and among sampling events in both dimensions (space and time). The final step in the data analysis involves the development multi-variate geostatistical models that not only include the traditional X (e.g. TSS) and Y (e.g. </w:t>
      </w:r>
      <w:proofErr w:type="spellStart"/>
      <w:r w:rsidRPr="00A51B08">
        <w:rPr>
          <w:rFonts w:ascii="Times New Roman" w:hAnsi="Times New Roman" w:cs="Times New Roman"/>
          <w:sz w:val="24"/>
          <w:szCs w:val="24"/>
        </w:rPr>
        <w:t>p.MeHg</w:t>
      </w:r>
      <w:proofErr w:type="spellEnd"/>
      <w:r w:rsidRPr="00A51B08">
        <w:rPr>
          <w:rFonts w:ascii="Times New Roman" w:hAnsi="Times New Roman" w:cs="Times New Roman"/>
          <w:sz w:val="24"/>
          <w:szCs w:val="24"/>
        </w:rPr>
        <w:t xml:space="preserve">) </w:t>
      </w:r>
      <w:proofErr w:type="gramStart"/>
      <w:r w:rsidRPr="00A51B08">
        <w:rPr>
          <w:rFonts w:ascii="Times New Roman" w:hAnsi="Times New Roman" w:cs="Times New Roman"/>
          <w:sz w:val="24"/>
          <w:szCs w:val="24"/>
        </w:rPr>
        <w:t>variables, but</w:t>
      </w:r>
      <w:proofErr w:type="gramEnd"/>
      <w:r w:rsidRPr="00A51B08">
        <w:rPr>
          <w:rFonts w:ascii="Times New Roman" w:hAnsi="Times New Roman" w:cs="Times New Roman"/>
          <w:sz w:val="24"/>
          <w:szCs w:val="24"/>
        </w:rPr>
        <w:t xml:space="preserve"> will also include explicit accounting for time (e.g. tidal stage, season) and space, thus enabling Hg estimates across the Delta. By building on existing data from the Delta (unpublished USGS data </w:t>
      </w:r>
      <w:r>
        <w:rPr>
          <w:rFonts w:ascii="Times New Roman" w:hAnsi="Times New Roman" w:cs="Times New Roman"/>
          <w:sz w:val="24"/>
          <w:szCs w:val="24"/>
        </w:rPr>
        <w:t>(</w:t>
      </w:r>
      <w:r>
        <w:rPr>
          <w:rFonts w:ascii="Times New Roman" w:hAnsi="Times New Roman" w:cs="Times New Roman"/>
          <w:b/>
          <w:sz w:val="24"/>
          <w:szCs w:val="24"/>
        </w:rPr>
        <w:t>Figs. 3-6)</w:t>
      </w:r>
      <w:r w:rsidRPr="00A51B08">
        <w:rPr>
          <w:rFonts w:ascii="Times New Roman" w:hAnsi="Times New Roman" w:cs="Times New Roman"/>
          <w:b/>
          <w:sz w:val="24"/>
          <w:szCs w:val="24"/>
        </w:rPr>
        <w:t xml:space="preserve"> </w:t>
      </w:r>
      <w:r w:rsidRPr="00A51B08">
        <w:rPr>
          <w:rFonts w:ascii="Times New Roman" w:hAnsi="Times New Roman" w:cs="Times New Roman"/>
          <w:sz w:val="24"/>
          <w:szCs w:val="24"/>
        </w:rPr>
        <w:t>and existing RMP Hg data) along with the new data collected by the proposed sampling design, we will for the first time have enough data sufficiency to achieve this modeling objective. Ultimately, we are providing the temporally and spatially resolved predictive framework and the initial high-resolution data that can continue to improve in accuracy as new data of the same type becomes available in the future.</w:t>
      </w:r>
    </w:p>
    <w:p w:rsidR="003F66A1" w:rsidRPr="00A51B08" w:rsidRDefault="003F66A1" w:rsidP="003F66A1">
      <w:pPr>
        <w:shd w:val="clear" w:color="auto" w:fill="FFFFFF"/>
        <w:spacing w:line="240" w:lineRule="auto"/>
        <w:rPr>
          <w:rFonts w:ascii="Times New Roman" w:hAnsi="Times New Roman" w:cs="Times New Roman"/>
          <w:sz w:val="24"/>
          <w:szCs w:val="24"/>
        </w:rPr>
      </w:pPr>
      <w:r w:rsidRPr="00A51B08">
        <w:rPr>
          <w:rFonts w:ascii="Times New Roman" w:hAnsi="Times New Roman" w:cs="Times New Roman"/>
          <w:sz w:val="24"/>
          <w:szCs w:val="24"/>
        </w:rPr>
        <w:t xml:space="preserve">See SA-1 </w:t>
      </w:r>
      <w:r>
        <w:rPr>
          <w:rFonts w:ascii="Times New Roman" w:hAnsi="Times New Roman" w:cs="Times New Roman"/>
          <w:sz w:val="24"/>
          <w:szCs w:val="24"/>
        </w:rPr>
        <w:t xml:space="preserve">(original Proposal) </w:t>
      </w:r>
      <w:r w:rsidRPr="00A51B08">
        <w:rPr>
          <w:rFonts w:ascii="Times New Roman" w:hAnsi="Times New Roman" w:cs="Times New Roman"/>
          <w:sz w:val="24"/>
          <w:szCs w:val="24"/>
        </w:rPr>
        <w:t>for full reference list</w:t>
      </w:r>
    </w:p>
    <w:p w:rsidR="00696566" w:rsidRDefault="00696566" w:rsidP="00696566"/>
    <w:sectPr w:rsidR="006965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7B541E"/>
    <w:multiLevelType w:val="hybridMultilevel"/>
    <w:tmpl w:val="6E0C1AA6"/>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51D20A0"/>
    <w:multiLevelType w:val="hybridMultilevel"/>
    <w:tmpl w:val="FA1E1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F9105BB"/>
    <w:multiLevelType w:val="hybridMultilevel"/>
    <w:tmpl w:val="C8DE6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USGS 7th 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tfp0exz2sfrtked9e9vaz95zdrz5tva0t29&quot;&gt;Complete&lt;record-ids&gt;&lt;item&gt;4&lt;/item&gt;&lt;item&gt;4089&lt;/item&gt;&lt;item&gt;4119&lt;/item&gt;&lt;item&gt;4317&lt;/item&gt;&lt;item&gt;4364&lt;/item&gt;&lt;item&gt;4824&lt;/item&gt;&lt;/record-ids&gt;&lt;/item&gt;&lt;/Libraries&gt;"/>
  </w:docVars>
  <w:rsids>
    <w:rsidRoot w:val="003F23D3"/>
    <w:rsid w:val="000D3A14"/>
    <w:rsid w:val="00177B34"/>
    <w:rsid w:val="001978CB"/>
    <w:rsid w:val="002E205D"/>
    <w:rsid w:val="003C0365"/>
    <w:rsid w:val="003F23D3"/>
    <w:rsid w:val="003F66A1"/>
    <w:rsid w:val="0040226B"/>
    <w:rsid w:val="00412879"/>
    <w:rsid w:val="00422DE3"/>
    <w:rsid w:val="004D0275"/>
    <w:rsid w:val="004F5083"/>
    <w:rsid w:val="005E0EAA"/>
    <w:rsid w:val="006054CA"/>
    <w:rsid w:val="00696566"/>
    <w:rsid w:val="006D50B4"/>
    <w:rsid w:val="006F3E9D"/>
    <w:rsid w:val="006F5824"/>
    <w:rsid w:val="00756DAF"/>
    <w:rsid w:val="0084662C"/>
    <w:rsid w:val="00921C8C"/>
    <w:rsid w:val="00922F01"/>
    <w:rsid w:val="009F5A3D"/>
    <w:rsid w:val="00AD1166"/>
    <w:rsid w:val="00B70DB5"/>
    <w:rsid w:val="00B82D44"/>
    <w:rsid w:val="00D143E9"/>
    <w:rsid w:val="00F10790"/>
    <w:rsid w:val="00FE08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C12E35-2A2A-499C-B475-F693F2742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F3E9D"/>
    <w:rPr>
      <w:color w:val="0563C1" w:themeColor="hyperlink"/>
      <w:u w:val="single"/>
    </w:rPr>
  </w:style>
  <w:style w:type="character" w:styleId="UnresolvedMention">
    <w:name w:val="Unresolved Mention"/>
    <w:basedOn w:val="DefaultParagraphFont"/>
    <w:uiPriority w:val="99"/>
    <w:semiHidden/>
    <w:unhideWhenUsed/>
    <w:rsid w:val="006F3E9D"/>
    <w:rPr>
      <w:color w:val="605E5C"/>
      <w:shd w:val="clear" w:color="auto" w:fill="E1DFDD"/>
    </w:rPr>
  </w:style>
  <w:style w:type="paragraph" w:styleId="ListParagraph">
    <w:name w:val="List Paragraph"/>
    <w:basedOn w:val="Normal"/>
    <w:link w:val="ListParagraphChar"/>
    <w:uiPriority w:val="34"/>
    <w:qFormat/>
    <w:rsid w:val="00756DAF"/>
    <w:pPr>
      <w:ind w:left="720"/>
      <w:contextualSpacing/>
    </w:pPr>
  </w:style>
  <w:style w:type="paragraph" w:customStyle="1" w:styleId="EndNoteBibliographyTitle">
    <w:name w:val="EndNote Bibliography Title"/>
    <w:basedOn w:val="Normal"/>
    <w:link w:val="EndNoteBibliographyTitleChar"/>
    <w:rsid w:val="006054CA"/>
    <w:pPr>
      <w:spacing w:after="0"/>
      <w:jc w:val="center"/>
    </w:pPr>
    <w:rPr>
      <w:rFonts w:ascii="Calibri" w:hAnsi="Calibri" w:cs="Calibri"/>
      <w:noProof/>
    </w:rPr>
  </w:style>
  <w:style w:type="character" w:customStyle="1" w:styleId="ListParagraphChar">
    <w:name w:val="List Paragraph Char"/>
    <w:basedOn w:val="DefaultParagraphFont"/>
    <w:link w:val="ListParagraph"/>
    <w:uiPriority w:val="34"/>
    <w:rsid w:val="006054CA"/>
  </w:style>
  <w:style w:type="character" w:customStyle="1" w:styleId="EndNoteBibliographyTitleChar">
    <w:name w:val="EndNote Bibliography Title Char"/>
    <w:basedOn w:val="ListParagraphChar"/>
    <w:link w:val="EndNoteBibliographyTitle"/>
    <w:rsid w:val="006054CA"/>
    <w:rPr>
      <w:rFonts w:ascii="Calibri" w:hAnsi="Calibri" w:cs="Calibri"/>
      <w:noProof/>
    </w:rPr>
  </w:style>
  <w:style w:type="paragraph" w:customStyle="1" w:styleId="EndNoteBibliography">
    <w:name w:val="EndNote Bibliography"/>
    <w:basedOn w:val="Normal"/>
    <w:link w:val="EndNoteBibliographyChar"/>
    <w:rsid w:val="006054CA"/>
    <w:pPr>
      <w:spacing w:line="240" w:lineRule="auto"/>
    </w:pPr>
    <w:rPr>
      <w:rFonts w:ascii="Calibri" w:hAnsi="Calibri" w:cs="Calibri"/>
      <w:noProof/>
    </w:rPr>
  </w:style>
  <w:style w:type="character" w:customStyle="1" w:styleId="EndNoteBibliographyChar">
    <w:name w:val="EndNote Bibliography Char"/>
    <w:basedOn w:val="ListParagraphChar"/>
    <w:link w:val="EndNoteBibliography"/>
    <w:rsid w:val="006054CA"/>
    <w:rPr>
      <w:rFonts w:ascii="Calibri" w:hAnsi="Calibri" w:cs="Calibri"/>
      <w:noProof/>
    </w:rPr>
  </w:style>
  <w:style w:type="paragraph" w:styleId="BalloonText">
    <w:name w:val="Balloon Text"/>
    <w:basedOn w:val="Normal"/>
    <w:link w:val="BalloonTextChar"/>
    <w:uiPriority w:val="99"/>
    <w:semiHidden/>
    <w:unhideWhenUsed/>
    <w:rsid w:val="00AD1166"/>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D1166"/>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989569">
      <w:bodyDiv w:val="1"/>
      <w:marLeft w:val="0"/>
      <w:marRight w:val="0"/>
      <w:marTop w:val="0"/>
      <w:marBottom w:val="0"/>
      <w:divBdr>
        <w:top w:val="none" w:sz="0" w:space="0" w:color="auto"/>
        <w:left w:val="none" w:sz="0" w:space="0" w:color="auto"/>
        <w:bottom w:val="none" w:sz="0" w:space="0" w:color="auto"/>
        <w:right w:val="none" w:sz="0" w:space="0" w:color="auto"/>
      </w:divBdr>
    </w:div>
    <w:div w:id="1406025484">
      <w:bodyDiv w:val="1"/>
      <w:marLeft w:val="0"/>
      <w:marRight w:val="0"/>
      <w:marTop w:val="0"/>
      <w:marBottom w:val="0"/>
      <w:divBdr>
        <w:top w:val="none" w:sz="0" w:space="0" w:color="auto"/>
        <w:left w:val="none" w:sz="0" w:space="0" w:color="auto"/>
        <w:bottom w:val="none" w:sz="0" w:space="0" w:color="auto"/>
        <w:right w:val="none" w:sz="0" w:space="0" w:color="auto"/>
      </w:divBdr>
      <w:divsChild>
        <w:div w:id="585726752">
          <w:marLeft w:val="0"/>
          <w:marRight w:val="0"/>
          <w:marTop w:val="0"/>
          <w:marBottom w:val="0"/>
          <w:divBdr>
            <w:top w:val="none" w:sz="0" w:space="0" w:color="auto"/>
            <w:left w:val="none" w:sz="0" w:space="0" w:color="auto"/>
            <w:bottom w:val="none" w:sz="0" w:space="0" w:color="auto"/>
            <w:right w:val="none" w:sz="0" w:space="0" w:color="auto"/>
          </w:divBdr>
        </w:div>
        <w:div w:id="878248504">
          <w:marLeft w:val="0"/>
          <w:marRight w:val="0"/>
          <w:marTop w:val="0"/>
          <w:marBottom w:val="0"/>
          <w:divBdr>
            <w:top w:val="none" w:sz="0" w:space="0" w:color="auto"/>
            <w:left w:val="none" w:sz="0" w:space="0" w:color="auto"/>
            <w:bottom w:val="none" w:sz="0" w:space="0" w:color="auto"/>
            <w:right w:val="none" w:sz="0" w:space="0" w:color="auto"/>
          </w:divBdr>
        </w:div>
        <w:div w:id="3713467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5.png"/><Relationship Id="rId5" Type="http://schemas.openxmlformats.org/officeDocument/2006/relationships/hyperlink" Target="mailto:mmarvin@usgs.gov"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Public\MMD%20Project%20-%20Local\MERCURY\SFB%20-%20Salt%20Ponds\STATS\SYNTHESIS%20-%20Hg%20Time%20Series\Developing%20Relationships%20for%20high-res%20Hg%20time%20series%20v3.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344190646830061"/>
          <c:y val="0.13187555555555555"/>
          <c:w val="0.69711513067613951"/>
          <c:h val="0.70275803361079059"/>
        </c:manualLayout>
      </c:layout>
      <c:scatterChart>
        <c:scatterStyle val="lineMarker"/>
        <c:varyColors val="0"/>
        <c:ser>
          <c:idx val="0"/>
          <c:order val="0"/>
          <c:tx>
            <c:v>%p.RHg</c:v>
          </c:tx>
          <c:spPr>
            <a:ln w="28575" cap="rnd">
              <a:solidFill>
                <a:schemeClr val="accent1"/>
              </a:solidFill>
              <a:round/>
            </a:ln>
            <a:effectLst/>
          </c:spPr>
          <c:marker>
            <c:symbol val="circle"/>
            <c:size val="5"/>
            <c:spPr>
              <a:solidFill>
                <a:schemeClr val="accent1"/>
              </a:solidFill>
              <a:ln w="9525">
                <a:solidFill>
                  <a:schemeClr val="accent1"/>
                </a:solidFill>
              </a:ln>
              <a:effectLst/>
            </c:spPr>
          </c:marker>
          <c:xVal>
            <c:numRef>
              <c:f>'ALSL-3'!$N$142:$N$167</c:f>
              <c:numCache>
                <c:formatCode>m/d/yy\ h:mm;@</c:formatCode>
                <c:ptCount val="26"/>
                <c:pt idx="0">
                  <c:v>41312.378472222219</c:v>
                </c:pt>
                <c:pt idx="1">
                  <c:v>41312.412499999999</c:v>
                </c:pt>
                <c:pt idx="2">
                  <c:v>41312.454861111109</c:v>
                </c:pt>
                <c:pt idx="3">
                  <c:v>41312.502083333333</c:v>
                </c:pt>
                <c:pt idx="4">
                  <c:v>41312.543749999997</c:v>
                </c:pt>
                <c:pt idx="5">
                  <c:v>41312.586805555555</c:v>
                </c:pt>
                <c:pt idx="6">
                  <c:v>41312.625</c:v>
                </c:pt>
                <c:pt idx="7">
                  <c:v>41312.625</c:v>
                </c:pt>
                <c:pt idx="8">
                  <c:v>41312.670138888891</c:v>
                </c:pt>
                <c:pt idx="9">
                  <c:v>41312.713194444441</c:v>
                </c:pt>
                <c:pt idx="10">
                  <c:v>41312.756944444445</c:v>
                </c:pt>
                <c:pt idx="11">
                  <c:v>41312.805555555555</c:v>
                </c:pt>
                <c:pt idx="12">
                  <c:v>41312.840277777781</c:v>
                </c:pt>
                <c:pt idx="13">
                  <c:v>41312.875</c:v>
                </c:pt>
                <c:pt idx="14">
                  <c:v>41312.918055555558</c:v>
                </c:pt>
                <c:pt idx="15">
                  <c:v>41312.959027777775</c:v>
                </c:pt>
                <c:pt idx="16">
                  <c:v>41313.001388888886</c:v>
                </c:pt>
                <c:pt idx="17">
                  <c:v>41313.044444444444</c:v>
                </c:pt>
                <c:pt idx="18">
                  <c:v>41313.084722222222</c:v>
                </c:pt>
                <c:pt idx="19">
                  <c:v>41313.130555555559</c:v>
                </c:pt>
                <c:pt idx="20">
                  <c:v>41313.177777777775</c:v>
                </c:pt>
                <c:pt idx="21">
                  <c:v>41313.209027777775</c:v>
                </c:pt>
                <c:pt idx="22">
                  <c:v>41313.251388888886</c:v>
                </c:pt>
                <c:pt idx="23">
                  <c:v>41313.295138888891</c:v>
                </c:pt>
                <c:pt idx="24">
                  <c:v>41313.336805555555</c:v>
                </c:pt>
                <c:pt idx="25">
                  <c:v>41313.378472222219</c:v>
                </c:pt>
              </c:numCache>
            </c:numRef>
          </c:xVal>
          <c:yVal>
            <c:numRef>
              <c:f>'ALSL-3'!$AM$142:$AM$167</c:f>
              <c:numCache>
                <c:formatCode>General</c:formatCode>
                <c:ptCount val="26"/>
                <c:pt idx="0">
                  <c:v>2.7806118045999999</c:v>
                </c:pt>
                <c:pt idx="1">
                  <c:v>4.4093871267000004</c:v>
                </c:pt>
                <c:pt idx="2">
                  <c:v>3.4180931997999999</c:v>
                </c:pt>
                <c:pt idx="3">
                  <c:v>2.0869476988</c:v>
                </c:pt>
                <c:pt idx="4">
                  <c:v>2.2300623433000002</c:v>
                </c:pt>
                <c:pt idx="5">
                  <c:v>1.5884112801000001</c:v>
                </c:pt>
                <c:pt idx="6">
                  <c:v>1.6255314207</c:v>
                </c:pt>
                <c:pt idx="7">
                  <c:v>1.5719175015</c:v>
                </c:pt>
                <c:pt idx="8">
                  <c:v>0.69322275160000002</c:v>
                </c:pt>
                <c:pt idx="9">
                  <c:v>0.73336131360000001</c:v>
                </c:pt>
                <c:pt idx="10">
                  <c:v>0.81095388530000001</c:v>
                </c:pt>
                <c:pt idx="11">
                  <c:v>0.6641064699</c:v>
                </c:pt>
                <c:pt idx="12">
                  <c:v>1.6222498514000001</c:v>
                </c:pt>
                <c:pt idx="13">
                  <c:v>1.5351089239</c:v>
                </c:pt>
                <c:pt idx="14">
                  <c:v>1.5508287215000001</c:v>
                </c:pt>
                <c:pt idx="15">
                  <c:v>1.9374637862999999</c:v>
                </c:pt>
                <c:pt idx="16">
                  <c:v>2.4125247701000001</c:v>
                </c:pt>
                <c:pt idx="17">
                  <c:v>2.2755479273999999</c:v>
                </c:pt>
                <c:pt idx="18">
                  <c:v>2.2271074880000001</c:v>
                </c:pt>
                <c:pt idx="19">
                  <c:v>1.5119740537999999</c:v>
                </c:pt>
                <c:pt idx="20">
                  <c:v>1.8856005474999999</c:v>
                </c:pt>
                <c:pt idx="21">
                  <c:v>1.5467391531000001</c:v>
                </c:pt>
                <c:pt idx="22">
                  <c:v>2.2067699168999999</c:v>
                </c:pt>
                <c:pt idx="23">
                  <c:v>0.93312849850000001</c:v>
                </c:pt>
                <c:pt idx="24">
                  <c:v>1.6183096224</c:v>
                </c:pt>
                <c:pt idx="25">
                  <c:v>2.8601999463999999</c:v>
                </c:pt>
              </c:numCache>
            </c:numRef>
          </c:yVal>
          <c:smooth val="1"/>
          <c:extLst>
            <c:ext xmlns:c16="http://schemas.microsoft.com/office/drawing/2014/chart" uri="{C3380CC4-5D6E-409C-BE32-E72D297353CC}">
              <c16:uniqueId val="{00000000-D8F7-4F3D-BEEE-C17F7534B3CC}"/>
            </c:ext>
          </c:extLst>
        </c:ser>
        <c:dLbls>
          <c:showLegendKey val="0"/>
          <c:showVal val="0"/>
          <c:showCatName val="0"/>
          <c:showSerName val="0"/>
          <c:showPercent val="0"/>
          <c:showBubbleSize val="0"/>
        </c:dLbls>
        <c:axId val="522207800"/>
        <c:axId val="522210752"/>
      </c:scatterChart>
      <c:scatterChart>
        <c:scatterStyle val="lineMarker"/>
        <c:varyColors val="0"/>
        <c:ser>
          <c:idx val="1"/>
          <c:order val="1"/>
          <c:tx>
            <c:v>Stage</c:v>
          </c:tx>
          <c:spPr>
            <a:ln w="28575" cap="rnd">
              <a:solidFill>
                <a:schemeClr val="accent2"/>
              </a:solidFill>
              <a:round/>
            </a:ln>
            <a:effectLst/>
          </c:spPr>
          <c:marker>
            <c:symbol val="circle"/>
            <c:size val="5"/>
            <c:spPr>
              <a:solidFill>
                <a:schemeClr val="accent2"/>
              </a:solidFill>
              <a:ln w="9525">
                <a:solidFill>
                  <a:schemeClr val="accent2"/>
                </a:solidFill>
              </a:ln>
              <a:effectLst/>
            </c:spPr>
          </c:marker>
          <c:xVal>
            <c:numRef>
              <c:f>'ALSL-3'!$N$142:$N$167</c:f>
              <c:numCache>
                <c:formatCode>m/d/yy\ h:mm;@</c:formatCode>
                <c:ptCount val="26"/>
                <c:pt idx="0">
                  <c:v>41312.378472222219</c:v>
                </c:pt>
                <c:pt idx="1">
                  <c:v>41312.412499999999</c:v>
                </c:pt>
                <c:pt idx="2">
                  <c:v>41312.454861111109</c:v>
                </c:pt>
                <c:pt idx="3">
                  <c:v>41312.502083333333</c:v>
                </c:pt>
                <c:pt idx="4">
                  <c:v>41312.543749999997</c:v>
                </c:pt>
                <c:pt idx="5">
                  <c:v>41312.586805555555</c:v>
                </c:pt>
                <c:pt idx="6">
                  <c:v>41312.625</c:v>
                </c:pt>
                <c:pt idx="7">
                  <c:v>41312.625</c:v>
                </c:pt>
                <c:pt idx="8">
                  <c:v>41312.670138888891</c:v>
                </c:pt>
                <c:pt idx="9">
                  <c:v>41312.713194444441</c:v>
                </c:pt>
                <c:pt idx="10">
                  <c:v>41312.756944444445</c:v>
                </c:pt>
                <c:pt idx="11">
                  <c:v>41312.805555555555</c:v>
                </c:pt>
                <c:pt idx="12">
                  <c:v>41312.840277777781</c:v>
                </c:pt>
                <c:pt idx="13">
                  <c:v>41312.875</c:v>
                </c:pt>
                <c:pt idx="14">
                  <c:v>41312.918055555558</c:v>
                </c:pt>
                <c:pt idx="15">
                  <c:v>41312.959027777775</c:v>
                </c:pt>
                <c:pt idx="16">
                  <c:v>41313.001388888886</c:v>
                </c:pt>
                <c:pt idx="17">
                  <c:v>41313.044444444444</c:v>
                </c:pt>
                <c:pt idx="18">
                  <c:v>41313.084722222222</c:v>
                </c:pt>
                <c:pt idx="19">
                  <c:v>41313.130555555559</c:v>
                </c:pt>
                <c:pt idx="20">
                  <c:v>41313.177777777775</c:v>
                </c:pt>
                <c:pt idx="21">
                  <c:v>41313.209027777775</c:v>
                </c:pt>
                <c:pt idx="22">
                  <c:v>41313.251388888886</c:v>
                </c:pt>
                <c:pt idx="23">
                  <c:v>41313.295138888891</c:v>
                </c:pt>
                <c:pt idx="24">
                  <c:v>41313.336805555555</c:v>
                </c:pt>
                <c:pt idx="25">
                  <c:v>41313.378472222219</c:v>
                </c:pt>
              </c:numCache>
            </c:numRef>
          </c:xVal>
          <c:yVal>
            <c:numRef>
              <c:f>'ALSL-3'!$S$142:$S$167</c:f>
              <c:numCache>
                <c:formatCode>0.00</c:formatCode>
                <c:ptCount val="26"/>
                <c:pt idx="0">
                  <c:v>3.24615920034746</c:v>
                </c:pt>
                <c:pt idx="1">
                  <c:v>3.3618708800691399</c:v>
                </c:pt>
                <c:pt idx="2">
                  <c:v>3.3069410665339301</c:v>
                </c:pt>
                <c:pt idx="3">
                  <c:v>2.7962742397009399</c:v>
                </c:pt>
                <c:pt idx="4">
                  <c:v>2.29940911928233</c:v>
                </c:pt>
                <c:pt idx="5">
                  <c:v>1.8003704010650701</c:v>
                </c:pt>
                <c:pt idx="6">
                  <c:v>1.3374328</c:v>
                </c:pt>
                <c:pt idx="7">
                  <c:v>1.3374328</c:v>
                </c:pt>
                <c:pt idx="8">
                  <c:v>0.82555946584062601</c:v>
                </c:pt>
                <c:pt idx="9">
                  <c:v>0.423573973608526</c:v>
                </c:pt>
                <c:pt idx="10">
                  <c:v>0.32295466823170499</c:v>
                </c:pt>
                <c:pt idx="11">
                  <c:v>0.88382773228143197</c:v>
                </c:pt>
                <c:pt idx="12">
                  <c:v>1.35772426612141</c:v>
                </c:pt>
                <c:pt idx="13">
                  <c:v>1.8631168</c:v>
                </c:pt>
                <c:pt idx="14">
                  <c:v>2.4970233081641</c:v>
                </c:pt>
                <c:pt idx="15">
                  <c:v>2.8415143465447601</c:v>
                </c:pt>
                <c:pt idx="16">
                  <c:v>2.8318899730503402</c:v>
                </c:pt>
                <c:pt idx="17">
                  <c:v>2.5636396789867399</c:v>
                </c:pt>
                <c:pt idx="18">
                  <c:v>2.2086796273464899</c:v>
                </c:pt>
                <c:pt idx="19">
                  <c:v>1.74912490571174</c:v>
                </c:pt>
                <c:pt idx="20">
                  <c:v>1.327566453637</c:v>
                </c:pt>
                <c:pt idx="21">
                  <c:v>1.1046069335187301</c:v>
                </c:pt>
                <c:pt idx="22">
                  <c:v>1.2237379741010701</c:v>
                </c:pt>
                <c:pt idx="23">
                  <c:v>1.87344746777625</c:v>
                </c:pt>
                <c:pt idx="24">
                  <c:v>2.50297813210884</c:v>
                </c:pt>
                <c:pt idx="25">
                  <c:v>3.10645573407339</c:v>
                </c:pt>
              </c:numCache>
            </c:numRef>
          </c:yVal>
          <c:smooth val="1"/>
          <c:extLst>
            <c:ext xmlns:c16="http://schemas.microsoft.com/office/drawing/2014/chart" uri="{C3380CC4-5D6E-409C-BE32-E72D297353CC}">
              <c16:uniqueId val="{00000001-D8F7-4F3D-BEEE-C17F7534B3CC}"/>
            </c:ext>
          </c:extLst>
        </c:ser>
        <c:dLbls>
          <c:showLegendKey val="0"/>
          <c:showVal val="0"/>
          <c:showCatName val="0"/>
          <c:showSerName val="0"/>
          <c:showPercent val="0"/>
          <c:showBubbleSize val="0"/>
        </c:dLbls>
        <c:axId val="541564016"/>
        <c:axId val="541556800"/>
      </c:scatterChart>
      <c:valAx>
        <c:axId val="522207800"/>
        <c:scaling>
          <c:orientation val="minMax"/>
          <c:max val="41313.5"/>
          <c:min val="41312.32"/>
        </c:scaling>
        <c:delete val="0"/>
        <c:axPos val="b"/>
        <c:numFmt formatCode="m/d/yy\,\ h:mm;@" sourceLinked="0"/>
        <c:majorTickMark val="out"/>
        <c:minorTickMark val="out"/>
        <c:tickLblPos val="nextTo"/>
        <c:spPr>
          <a:noFill/>
          <a:ln w="9525" cap="flat" cmpd="sng" algn="ctr">
            <a:solidFill>
              <a:schemeClr val="tx1">
                <a:lumMod val="15000"/>
                <a:lumOff val="85000"/>
              </a:schemeClr>
            </a:solidFill>
            <a:round/>
          </a:ln>
          <a:effectLst/>
        </c:spPr>
        <c:txPr>
          <a:bodyPr rot="-27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2210752"/>
        <c:crosses val="autoZero"/>
        <c:crossBetween val="midCat"/>
        <c:majorUnit val="0.5"/>
        <c:minorUnit val="8.3330000000000015E-2"/>
      </c:valAx>
      <c:valAx>
        <c:axId val="52221075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%p.RHg (% of THg)</a:t>
                </a:r>
              </a:p>
            </c:rich>
          </c:tx>
          <c:layout>
            <c:manualLayout>
              <c:xMode val="edge"/>
              <c:yMode val="edge"/>
              <c:x val="4.3097912253354121E-3"/>
              <c:y val="0.1034366729263444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2207800"/>
        <c:crosses val="autoZero"/>
        <c:crossBetween val="midCat"/>
      </c:valAx>
      <c:valAx>
        <c:axId val="541556800"/>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Tidal Stage</a:t>
                </a:r>
                <a:r>
                  <a:rPr lang="en-US" baseline="0"/>
                  <a:t> (m above bottom)</a:t>
                </a:r>
                <a:endParaRPr lang="en-US"/>
              </a:p>
            </c:rich>
          </c:tx>
          <c:layout>
            <c:manualLayout>
              <c:xMode val="edge"/>
              <c:yMode val="edge"/>
              <c:x val="0.94201001660506722"/>
              <c:y val="4.700145815106427E-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564016"/>
        <c:crosses val="max"/>
        <c:crossBetween val="midCat"/>
      </c:valAx>
      <c:valAx>
        <c:axId val="541564016"/>
        <c:scaling>
          <c:orientation val="minMax"/>
        </c:scaling>
        <c:delete val="1"/>
        <c:axPos val="b"/>
        <c:numFmt formatCode="m/d/yy\ h:mm;@" sourceLinked="1"/>
        <c:majorTickMark val="out"/>
        <c:minorTickMark val="none"/>
        <c:tickLblPos val="nextTo"/>
        <c:crossAx val="541556800"/>
        <c:crosses val="autoZero"/>
        <c:crossBetween val="midCat"/>
      </c:valAx>
      <c:spPr>
        <a:noFill/>
        <a:ln>
          <a:solidFill>
            <a:sysClr val="windowText" lastClr="000000"/>
          </a:solidFill>
        </a:ln>
        <a:effectLst/>
      </c:spPr>
    </c:plotArea>
    <c:legend>
      <c:legendPos val="r"/>
      <c:layout>
        <c:manualLayout>
          <c:xMode val="edge"/>
          <c:yMode val="edge"/>
          <c:x val="0.31266157720132703"/>
          <c:y val="5.8183375613613142E-2"/>
          <c:w val="0.18915649548705152"/>
          <c:h val="0.16194950526581667"/>
        </c:manualLayout>
      </c:layout>
      <c:overlay val="0"/>
      <c:spPr>
        <a:solidFill>
          <a:schemeClr val="bg1"/>
        </a:solidFill>
        <a:ln>
          <a:solidFill>
            <a:sysClr val="windowText" lastClr="0000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3887</Words>
  <Characters>22160</Characters>
  <Application>Microsoft Office Word</Application>
  <DocSecurity>0</DocSecurity>
  <Lines>184</Lines>
  <Paragraphs>51</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Supplemental Attachment</vt:lpstr>
      <vt:lpstr>Excerpt from Proposition 1 Proposal (Hestir et al., 2019)</vt:lpstr>
      <vt:lpstr/>
      <vt:lpstr>Hg Relationships with Dissolved Organic Carbon</vt:lpstr>
      <vt:lpstr>Hg Relationships with Particulates</vt:lpstr>
      <vt:lpstr>Relationships with chlorophyll</vt:lpstr>
      <vt:lpstr>Optical data as proxies for high resolution Hg monitoring</vt:lpstr>
      <vt:lpstr>Addressing Variability and System Complexity</vt:lpstr>
    </vt:vector>
  </TitlesOfParts>
  <Company/>
  <LinksUpToDate>false</LinksUpToDate>
  <CharactersWithSpaces>25996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Chotkowski, Michael A.</dc:creator>
  <cp:keywords/>
  <dc:description/>
  <cp:lastModifiedBy>Microsoft Office User</cp:lastModifiedBy>
  <cp:revision>2</cp:revision>
  <dcterms:created xsi:type="dcterms:W3CDTF">2019-05-07T19:51:00Z</dcterms:created>
  <dcterms:modified xsi:type="dcterms:W3CDTF">2019-05-07T19:51:00Z</dcterms:modified>
</cp:coreProperties>
</file>