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F31FB" w14:textId="77777777" w:rsidR="00540CCB" w:rsidRPr="00540CCB" w:rsidRDefault="00540CCB" w:rsidP="00540CCB">
      <w:pPr>
        <w:spacing w:after="0" w:line="240" w:lineRule="auto"/>
        <w:rPr>
          <w:i/>
          <w:color w:val="4472C4" w:themeColor="accent1"/>
        </w:rPr>
      </w:pPr>
      <w:r w:rsidRPr="00540CCB">
        <w:rPr>
          <w:i/>
          <w:color w:val="4472C4" w:themeColor="accent1"/>
        </w:rPr>
        <w:t>San Francisco Bay-Delta Priority Ecosystems Science Concept Proposal FY19 (submitted July 2018)</w:t>
      </w:r>
    </w:p>
    <w:p w14:paraId="6F2D218E" w14:textId="77777777" w:rsidR="00540CCB" w:rsidRDefault="00540CCB" w:rsidP="00540CCB">
      <w:pPr>
        <w:spacing w:after="0" w:line="240" w:lineRule="auto"/>
      </w:pPr>
    </w:p>
    <w:p w14:paraId="316D2758" w14:textId="78B7B70F" w:rsidR="00540CCB" w:rsidRPr="00540CCB" w:rsidRDefault="00540CCB" w:rsidP="00540CCB">
      <w:pPr>
        <w:spacing w:after="0" w:line="240" w:lineRule="auto"/>
        <w:rPr>
          <w:b/>
        </w:rPr>
      </w:pPr>
      <w:r w:rsidRPr="00540CCB">
        <w:rPr>
          <w:i/>
          <w:color w:val="4472C4" w:themeColor="accent1"/>
        </w:rPr>
        <w:t>1. Title:</w:t>
      </w:r>
      <w:r w:rsidRPr="00540CCB">
        <w:rPr>
          <w:color w:val="4472C4" w:themeColor="accent1"/>
        </w:rPr>
        <w:t xml:space="preserve"> </w:t>
      </w:r>
      <w:r w:rsidR="00E7000A" w:rsidRPr="00171DA2">
        <w:rPr>
          <w:b/>
          <w:bCs/>
          <w:sz w:val="24"/>
          <w:szCs w:val="24"/>
        </w:rPr>
        <w:t>Understanding sediment nutrient inventories and microbial communities involved in nutrient cycling in the Delta</w:t>
      </w:r>
    </w:p>
    <w:p w14:paraId="438B1E08" w14:textId="77777777" w:rsidR="00540CCB" w:rsidRDefault="00540CCB" w:rsidP="00540CCB">
      <w:pPr>
        <w:spacing w:after="0" w:line="240" w:lineRule="auto"/>
      </w:pPr>
    </w:p>
    <w:p w14:paraId="4B0BE230" w14:textId="2C54E3D2" w:rsidR="00540CCB" w:rsidRDefault="00540CCB" w:rsidP="00540CCB">
      <w:pPr>
        <w:spacing w:after="0" w:line="240" w:lineRule="auto"/>
      </w:pPr>
      <w:r w:rsidRPr="00540CCB">
        <w:rPr>
          <w:i/>
          <w:color w:val="4472C4" w:themeColor="accent1"/>
        </w:rPr>
        <w:t>2. Focus Area(s):</w:t>
      </w:r>
      <w:r w:rsidRPr="00540CCB">
        <w:rPr>
          <w:color w:val="4472C4" w:themeColor="accent1"/>
        </w:rPr>
        <w:t xml:space="preserve"> </w:t>
      </w:r>
      <w:r w:rsidR="005170B9" w:rsidRPr="005170B9">
        <w:t>Addressing the multi-stressor problem</w:t>
      </w:r>
      <w:r w:rsidR="00E7000A">
        <w:t xml:space="preserve"> (nut</w:t>
      </w:r>
      <w:r w:rsidR="00C9709F">
        <w:t>r</w:t>
      </w:r>
      <w:r w:rsidR="00E7000A">
        <w:t>ients)</w:t>
      </w:r>
    </w:p>
    <w:p w14:paraId="21F117A4" w14:textId="77777777" w:rsidR="00540CCB" w:rsidRDefault="00540CCB" w:rsidP="00540CCB">
      <w:pPr>
        <w:spacing w:after="0" w:line="240" w:lineRule="auto"/>
      </w:pPr>
    </w:p>
    <w:p w14:paraId="3924BE01" w14:textId="1687AC30" w:rsidR="00540CCB" w:rsidRPr="00540CCB" w:rsidRDefault="00025317" w:rsidP="00540CCB">
      <w:pPr>
        <w:spacing w:after="0" w:line="240" w:lineRule="auto"/>
        <w:rPr>
          <w:i/>
          <w:color w:val="4472C4" w:themeColor="accent1"/>
        </w:rPr>
      </w:pPr>
      <w:r w:rsidRPr="00EC3C69">
        <w:rPr>
          <w:rFonts w:ascii="Times New Roman" w:eastAsia="Times New Roman" w:hAnsi="Times New Roman" w:cs="Times New Roman"/>
          <w:b/>
          <w:bCs/>
          <w:noProof/>
          <w:color w:val="0066CC"/>
          <w:sz w:val="24"/>
          <w:szCs w:val="24"/>
        </w:rPr>
        <mc:AlternateContent>
          <mc:Choice Requires="wps">
            <w:drawing>
              <wp:anchor distT="0" distB="0" distL="114300" distR="114300" simplePos="0" relativeHeight="251659264" behindDoc="1" locked="0" layoutInCell="1" allowOverlap="1" wp14:anchorId="45A9D78F" wp14:editId="0E87394E">
                <wp:simplePos x="0" y="0"/>
                <wp:positionH relativeFrom="column">
                  <wp:posOffset>4110990</wp:posOffset>
                </wp:positionH>
                <wp:positionV relativeFrom="paragraph">
                  <wp:posOffset>172085</wp:posOffset>
                </wp:positionV>
                <wp:extent cx="1927225" cy="1878965"/>
                <wp:effectExtent l="0" t="0" r="0" b="6985"/>
                <wp:wrapTight wrapText="bothSides">
                  <wp:wrapPolygon edited="0">
                    <wp:start x="0" y="0"/>
                    <wp:lineTo x="0" y="21461"/>
                    <wp:lineTo x="21351" y="21461"/>
                    <wp:lineTo x="21351" y="0"/>
                    <wp:lineTo x="0" y="0"/>
                  </wp:wrapPolygon>
                </wp:wrapTight>
                <wp:docPr id="6" name="Rectangle 6"/>
                <wp:cNvGraphicFramePr/>
                <a:graphic xmlns:a="http://schemas.openxmlformats.org/drawingml/2006/main">
                  <a:graphicData uri="http://schemas.microsoft.com/office/word/2010/wordprocessingShape">
                    <wps:wsp>
                      <wps:cNvSpPr/>
                      <wps:spPr>
                        <a:xfrm>
                          <a:off x="0" y="0"/>
                          <a:ext cx="1927225" cy="187896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77BDF9" w14:textId="034222E0" w:rsidR="00E7000A" w:rsidRPr="009F1FE1" w:rsidRDefault="00E7000A" w:rsidP="00E7000A">
                            <w:pPr>
                              <w:spacing w:after="0"/>
                              <w:jc w:val="center"/>
                              <w:rPr>
                                <w:rFonts w:ascii="Arial" w:hAnsi="Arial" w:cs="Arial"/>
                                <w:color w:val="000000" w:themeColor="text1"/>
                                <w:sz w:val="20"/>
                                <w:szCs w:val="20"/>
                              </w:rPr>
                            </w:pPr>
                            <w:r w:rsidRPr="009F1FE1">
                              <w:rPr>
                                <w:rFonts w:ascii="Arial" w:hAnsi="Arial" w:cs="Arial"/>
                                <w:color w:val="000000" w:themeColor="text1"/>
                                <w:sz w:val="20"/>
                                <w:szCs w:val="20"/>
                              </w:rPr>
                              <w:t>Efforts to understand the role of nutrients in the Delta are hindered by lack of</w:t>
                            </w:r>
                            <w:r w:rsidR="00B04ABA">
                              <w:rPr>
                                <w:rFonts w:ascii="Arial" w:hAnsi="Arial" w:cs="Arial"/>
                                <w:color w:val="000000" w:themeColor="text1"/>
                                <w:sz w:val="20"/>
                                <w:szCs w:val="20"/>
                              </w:rPr>
                              <w:t xml:space="preserve"> </w:t>
                            </w:r>
                            <w:r w:rsidRPr="009F1FE1">
                              <w:rPr>
                                <w:rFonts w:ascii="Arial" w:hAnsi="Arial" w:cs="Arial"/>
                                <w:color w:val="000000" w:themeColor="text1"/>
                                <w:sz w:val="20"/>
                                <w:szCs w:val="20"/>
                              </w:rPr>
                              <w:t xml:space="preserve">quantitative information on regional sediment N inventories </w:t>
                            </w:r>
                            <w:r w:rsidRPr="00025317">
                              <w:rPr>
                                <w:rFonts w:ascii="Arial" w:hAnsi="Arial" w:cs="Arial"/>
                                <w:color w:val="000000" w:themeColor="text1"/>
                                <w:sz w:val="20"/>
                                <w:szCs w:val="20"/>
                              </w:rPr>
                              <w:t xml:space="preserve">and </w:t>
                            </w:r>
                            <w:r w:rsidR="00B04ABA" w:rsidRPr="00025317">
                              <w:rPr>
                                <w:rFonts w:ascii="Arial" w:hAnsi="Arial" w:cs="Arial"/>
                                <w:color w:val="000000" w:themeColor="text1"/>
                                <w:sz w:val="20"/>
                                <w:szCs w:val="20"/>
                              </w:rPr>
                              <w:t>knowledge o</w:t>
                            </w:r>
                            <w:r w:rsidR="00343BB6" w:rsidRPr="00025317">
                              <w:rPr>
                                <w:rFonts w:ascii="Arial" w:hAnsi="Arial" w:cs="Arial"/>
                                <w:color w:val="000000" w:themeColor="text1"/>
                                <w:sz w:val="20"/>
                                <w:szCs w:val="20"/>
                              </w:rPr>
                              <w:t>f</w:t>
                            </w:r>
                            <w:r w:rsidRPr="00025317">
                              <w:rPr>
                                <w:rFonts w:ascii="Arial" w:hAnsi="Arial" w:cs="Arial"/>
                                <w:color w:val="000000" w:themeColor="text1"/>
                                <w:sz w:val="20"/>
                                <w:szCs w:val="20"/>
                              </w:rPr>
                              <w:t xml:space="preserve"> how microorganisms inhabiting Delta sediment</w:t>
                            </w:r>
                            <w:r w:rsidR="00B04ABA" w:rsidRPr="00025317">
                              <w:rPr>
                                <w:rFonts w:ascii="Arial" w:hAnsi="Arial" w:cs="Arial"/>
                                <w:color w:val="000000" w:themeColor="text1"/>
                                <w:sz w:val="20"/>
                                <w:szCs w:val="20"/>
                              </w:rPr>
                              <w:t>s</w:t>
                            </w:r>
                            <w:r w:rsidRPr="00025317">
                              <w:rPr>
                                <w:rFonts w:ascii="Arial" w:hAnsi="Arial" w:cs="Arial"/>
                                <w:color w:val="000000" w:themeColor="text1"/>
                                <w:sz w:val="20"/>
                                <w:szCs w:val="20"/>
                              </w:rPr>
                              <w:t xml:space="preserve"> contribute to </w:t>
                            </w:r>
                            <w:r w:rsidR="00B04ABA" w:rsidRPr="00025317">
                              <w:rPr>
                                <w:rFonts w:ascii="Arial" w:hAnsi="Arial" w:cs="Arial"/>
                                <w:color w:val="000000" w:themeColor="text1"/>
                                <w:sz w:val="20"/>
                                <w:szCs w:val="20"/>
                              </w:rPr>
                              <w:t>nutrient</w:t>
                            </w:r>
                            <w:r w:rsidRPr="00025317">
                              <w:rPr>
                                <w:rFonts w:ascii="Arial" w:hAnsi="Arial" w:cs="Arial"/>
                                <w:color w:val="000000" w:themeColor="text1"/>
                                <w:sz w:val="20"/>
                                <w:szCs w:val="20"/>
                              </w:rPr>
                              <w:t xml:space="preserve"> cycling.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9D78F" id="Rectangle 6" o:spid="_x0000_s1026" style="position:absolute;margin-left:323.7pt;margin-top:13.55pt;width:151.75pt;height:147.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" fillcolor="#d8d8d8 [2732]" stroked="f" strokeweight="1pt">
                <v:textbox>
                  <w:txbxContent>
                    <w:p w14:paraId="0277BDF9" w14:textId="034222E0" w:rsidR="00E7000A" w:rsidRPr="009F1FE1" w:rsidRDefault="00E7000A" w:rsidP="00E7000A">
                      <w:pPr>
                        <w:spacing w:after="0"/>
                        <w:jc w:val="center"/>
                        <w:rPr>
                          <w:rFonts w:ascii="Arial" w:hAnsi="Arial" w:cs="Arial"/>
                          <w:color w:val="000000" w:themeColor="text1"/>
                          <w:sz w:val="20"/>
                          <w:szCs w:val="20"/>
                        </w:rPr>
                      </w:pPr>
                      <w:r w:rsidRPr="009F1FE1">
                        <w:rPr>
                          <w:rFonts w:ascii="Arial" w:hAnsi="Arial" w:cs="Arial"/>
                          <w:color w:val="000000" w:themeColor="text1"/>
                          <w:sz w:val="20"/>
                          <w:szCs w:val="20"/>
                        </w:rPr>
                        <w:t>Efforts to understand the role of nutrients in the Delta are hindered by lack of</w:t>
                      </w:r>
                      <w:r w:rsidR="00B04ABA">
                        <w:rPr>
                          <w:rFonts w:ascii="Arial" w:hAnsi="Arial" w:cs="Arial"/>
                          <w:color w:val="000000" w:themeColor="text1"/>
                          <w:sz w:val="20"/>
                          <w:szCs w:val="20"/>
                        </w:rPr>
                        <w:t xml:space="preserve"> </w:t>
                      </w:r>
                      <w:r w:rsidRPr="009F1FE1">
                        <w:rPr>
                          <w:rFonts w:ascii="Arial" w:hAnsi="Arial" w:cs="Arial"/>
                          <w:color w:val="000000" w:themeColor="text1"/>
                          <w:sz w:val="20"/>
                          <w:szCs w:val="20"/>
                        </w:rPr>
                        <w:t xml:space="preserve">quantitative information on regional sediment N inventories </w:t>
                      </w:r>
                      <w:r w:rsidRPr="00025317">
                        <w:rPr>
                          <w:rFonts w:ascii="Arial" w:hAnsi="Arial" w:cs="Arial"/>
                          <w:color w:val="000000" w:themeColor="text1"/>
                          <w:sz w:val="20"/>
                          <w:szCs w:val="20"/>
                        </w:rPr>
                        <w:t xml:space="preserve">and </w:t>
                      </w:r>
                      <w:r w:rsidR="00B04ABA" w:rsidRPr="00025317">
                        <w:rPr>
                          <w:rFonts w:ascii="Arial" w:hAnsi="Arial" w:cs="Arial"/>
                          <w:color w:val="000000" w:themeColor="text1"/>
                          <w:sz w:val="20"/>
                          <w:szCs w:val="20"/>
                        </w:rPr>
                        <w:t>knowledge o</w:t>
                      </w:r>
                      <w:r w:rsidR="00343BB6" w:rsidRPr="00025317">
                        <w:rPr>
                          <w:rFonts w:ascii="Arial" w:hAnsi="Arial" w:cs="Arial"/>
                          <w:color w:val="000000" w:themeColor="text1"/>
                          <w:sz w:val="20"/>
                          <w:szCs w:val="20"/>
                        </w:rPr>
                        <w:t>f</w:t>
                      </w:r>
                      <w:r w:rsidRPr="00025317">
                        <w:rPr>
                          <w:rFonts w:ascii="Arial" w:hAnsi="Arial" w:cs="Arial"/>
                          <w:color w:val="000000" w:themeColor="text1"/>
                          <w:sz w:val="20"/>
                          <w:szCs w:val="20"/>
                        </w:rPr>
                        <w:t xml:space="preserve"> how microorganisms inhabiting Delta sediment</w:t>
                      </w:r>
                      <w:r w:rsidR="00B04ABA" w:rsidRPr="00025317">
                        <w:rPr>
                          <w:rFonts w:ascii="Arial" w:hAnsi="Arial" w:cs="Arial"/>
                          <w:color w:val="000000" w:themeColor="text1"/>
                          <w:sz w:val="20"/>
                          <w:szCs w:val="20"/>
                        </w:rPr>
                        <w:t>s</w:t>
                      </w:r>
                      <w:r w:rsidRPr="00025317">
                        <w:rPr>
                          <w:rFonts w:ascii="Arial" w:hAnsi="Arial" w:cs="Arial"/>
                          <w:color w:val="000000" w:themeColor="text1"/>
                          <w:sz w:val="20"/>
                          <w:szCs w:val="20"/>
                        </w:rPr>
                        <w:t xml:space="preserve"> contribute to </w:t>
                      </w:r>
                      <w:r w:rsidR="00B04ABA" w:rsidRPr="00025317">
                        <w:rPr>
                          <w:rFonts w:ascii="Arial" w:hAnsi="Arial" w:cs="Arial"/>
                          <w:color w:val="000000" w:themeColor="text1"/>
                          <w:sz w:val="20"/>
                          <w:szCs w:val="20"/>
                        </w:rPr>
                        <w:t>nutrient</w:t>
                      </w:r>
                      <w:r w:rsidRPr="00025317">
                        <w:rPr>
                          <w:rFonts w:ascii="Arial" w:hAnsi="Arial" w:cs="Arial"/>
                          <w:color w:val="000000" w:themeColor="text1"/>
                          <w:sz w:val="20"/>
                          <w:szCs w:val="20"/>
                        </w:rPr>
                        <w:t xml:space="preserve"> cycling.</w:t>
                      </w:r>
                    </w:p>
                  </w:txbxContent>
                </v:textbox>
                <w10:wrap type="tight"/>
              </v:rect>
            </w:pict>
          </mc:Fallback>
        </mc:AlternateContent>
      </w:r>
      <w:r w:rsidR="00540CCB" w:rsidRPr="00540CCB">
        <w:rPr>
          <w:i/>
          <w:color w:val="4472C4" w:themeColor="accent1"/>
        </w:rPr>
        <w:t>3. Concept</w:t>
      </w:r>
    </w:p>
    <w:p w14:paraId="7A399E64" w14:textId="77777777" w:rsidR="004B3A25" w:rsidRDefault="001D6845" w:rsidP="002A053E">
      <w:pPr>
        <w:pStyle w:val="Title"/>
        <w:ind w:firstLine="540"/>
        <w:jc w:val="left"/>
        <w:rPr>
          <w:rFonts w:asciiTheme="minorHAnsi" w:hAnsiTheme="minorHAnsi" w:cstheme="minorHAnsi"/>
          <w:b w:val="0"/>
        </w:rPr>
      </w:pPr>
      <w:r w:rsidRPr="00EC3C69">
        <w:rPr>
          <w:rFonts w:asciiTheme="minorHAnsi" w:hAnsiTheme="minorHAnsi" w:cstheme="minorHAnsi"/>
          <w:b w:val="0"/>
          <w:color w:val="000000" w:themeColor="text1"/>
        </w:rPr>
        <w:t>Nutrients play a key role in estuaries, including the Bay-Delta, and thus understanding nutri</w:t>
      </w:r>
      <w:r w:rsidRPr="005F3056">
        <w:rPr>
          <w:rFonts w:asciiTheme="minorHAnsi" w:hAnsiTheme="minorHAnsi" w:cstheme="minorHAnsi"/>
          <w:b w:val="0"/>
          <w:color w:val="000000" w:themeColor="text1"/>
        </w:rPr>
        <w:t xml:space="preserve">ent sources, sinks and cycling is key to understanding ecosystem function. In the Bay-Delta, </w:t>
      </w:r>
      <w:r w:rsidRPr="00EC3C69">
        <w:rPr>
          <w:rFonts w:asciiTheme="minorHAnsi" w:hAnsiTheme="minorHAnsi" w:cstheme="minorHAnsi"/>
          <w:b w:val="0"/>
          <w:color w:val="000000" w:themeColor="text1"/>
        </w:rPr>
        <w:t>elevated nutrient concentrations, particularly nitrogen, have been linked to issues with harmful algal blooms and cyanotoxin production, excessive growth of invasive aquatic vegetation, low dissolved oxygen, and a shift in the phytoplankton community to less nutritious species. Recent mass balance analyses estimated that about 25% of total nitrogen loads entering the Delta are lost within the system (Novick et al. 2015). This suggests sediments play a key role in nitrogen storage, cycling</w:t>
      </w:r>
      <w:r w:rsidR="00B04ABA">
        <w:rPr>
          <w:rFonts w:asciiTheme="minorHAnsi" w:hAnsiTheme="minorHAnsi" w:cstheme="minorHAnsi"/>
          <w:b w:val="0"/>
          <w:color w:val="000000" w:themeColor="text1"/>
        </w:rPr>
        <w:t>,</w:t>
      </w:r>
      <w:r w:rsidRPr="00EC3C69">
        <w:rPr>
          <w:rFonts w:asciiTheme="minorHAnsi" w:hAnsiTheme="minorHAnsi" w:cstheme="minorHAnsi"/>
          <w:b w:val="0"/>
          <w:color w:val="000000" w:themeColor="text1"/>
        </w:rPr>
        <w:t xml:space="preserve"> and availability by retaining and transforming nutrients via processes like biotic uptake, burial, </w:t>
      </w:r>
      <w:r>
        <w:rPr>
          <w:rFonts w:asciiTheme="minorHAnsi" w:hAnsiTheme="minorHAnsi" w:cstheme="minorHAnsi"/>
          <w:b w:val="0"/>
          <w:color w:val="000000" w:themeColor="text1"/>
        </w:rPr>
        <w:t xml:space="preserve">and denitrification. </w:t>
      </w:r>
      <w:r w:rsidRPr="00EC3C69">
        <w:rPr>
          <w:rFonts w:asciiTheme="minorHAnsi" w:hAnsiTheme="minorHAnsi" w:cstheme="minorHAnsi"/>
          <w:b w:val="0"/>
          <w:color w:val="000000" w:themeColor="text1"/>
        </w:rPr>
        <w:t>However, little information exists about the amount, forms</w:t>
      </w:r>
      <w:r w:rsidR="00B04ABA">
        <w:rPr>
          <w:rFonts w:asciiTheme="minorHAnsi" w:hAnsiTheme="minorHAnsi" w:cstheme="minorHAnsi"/>
          <w:b w:val="0"/>
          <w:color w:val="000000" w:themeColor="text1"/>
        </w:rPr>
        <w:t>,</w:t>
      </w:r>
      <w:r w:rsidRPr="00EC3C69">
        <w:rPr>
          <w:rFonts w:asciiTheme="minorHAnsi" w:hAnsiTheme="minorHAnsi" w:cstheme="minorHAnsi"/>
          <w:b w:val="0"/>
          <w:color w:val="000000" w:themeColor="text1"/>
        </w:rPr>
        <w:t xml:space="preserve"> and availability of nutrients in Delta sediments, and what information is available is associated with special studies that use a variety of approaches (</w:t>
      </w:r>
      <w:r w:rsidRPr="005F3056">
        <w:rPr>
          <w:rFonts w:asciiTheme="minorHAnsi" w:hAnsiTheme="minorHAnsi" w:cstheme="minorHAnsi"/>
          <w:b w:val="0"/>
          <w:color w:val="000000" w:themeColor="text1"/>
        </w:rPr>
        <w:t xml:space="preserve">e.g., </w:t>
      </w:r>
      <w:proofErr w:type="spellStart"/>
      <w:r w:rsidRPr="005F3056">
        <w:rPr>
          <w:rFonts w:asciiTheme="minorHAnsi" w:hAnsiTheme="minorHAnsi" w:cstheme="minorHAnsi"/>
          <w:b w:val="0"/>
          <w:color w:val="000000" w:themeColor="text1"/>
        </w:rPr>
        <w:t>Kuwabara</w:t>
      </w:r>
      <w:proofErr w:type="spellEnd"/>
      <w:r w:rsidRPr="005F3056">
        <w:rPr>
          <w:rFonts w:asciiTheme="minorHAnsi" w:hAnsiTheme="minorHAnsi" w:cstheme="minorHAnsi"/>
          <w:b w:val="0"/>
          <w:color w:val="000000" w:themeColor="text1"/>
        </w:rPr>
        <w:t xml:space="preserve"> et al. 2009; Cornwell et al. 2014</w:t>
      </w:r>
      <w:r w:rsidRPr="00025317">
        <w:rPr>
          <w:rFonts w:asciiTheme="minorHAnsi" w:hAnsiTheme="minorHAnsi" w:cstheme="minorHAnsi"/>
          <w:b w:val="0"/>
        </w:rPr>
        <w:t>; Kraus et al. 2017).</w:t>
      </w:r>
      <w:r w:rsidR="004B3A25">
        <w:rPr>
          <w:rFonts w:asciiTheme="minorHAnsi" w:hAnsiTheme="minorHAnsi" w:cstheme="minorHAnsi"/>
          <w:b w:val="0"/>
        </w:rPr>
        <w:t xml:space="preserve"> </w:t>
      </w:r>
      <w:r w:rsidR="00016311" w:rsidRPr="00025317">
        <w:rPr>
          <w:rFonts w:asciiTheme="minorHAnsi" w:hAnsiTheme="minorHAnsi" w:cstheme="minorHAnsi"/>
          <w:b w:val="0"/>
        </w:rPr>
        <w:t>Microorganisms are significant contributors to nutrient cycling in rivers and sediments</w:t>
      </w:r>
      <w:r w:rsidR="00F35456" w:rsidRPr="00025317">
        <w:rPr>
          <w:rFonts w:asciiTheme="minorHAnsi" w:hAnsiTheme="minorHAnsi" w:cstheme="minorHAnsi"/>
          <w:b w:val="0"/>
        </w:rPr>
        <w:t xml:space="preserve"> (e.g., </w:t>
      </w:r>
      <w:proofErr w:type="spellStart"/>
      <w:r w:rsidR="00F35456" w:rsidRPr="00025317">
        <w:rPr>
          <w:rFonts w:asciiTheme="minorHAnsi" w:hAnsiTheme="minorHAnsi" w:cstheme="minorHAnsi"/>
          <w:b w:val="0"/>
        </w:rPr>
        <w:t>Stoliker</w:t>
      </w:r>
      <w:proofErr w:type="spellEnd"/>
      <w:r w:rsidR="00F35456" w:rsidRPr="00025317">
        <w:rPr>
          <w:rFonts w:asciiTheme="minorHAnsi" w:hAnsiTheme="minorHAnsi" w:cstheme="minorHAnsi"/>
          <w:b w:val="0"/>
        </w:rPr>
        <w:t xml:space="preserve"> et al. 2016; </w:t>
      </w:r>
      <w:proofErr w:type="spellStart"/>
      <w:r w:rsidR="00F35456" w:rsidRPr="00025317">
        <w:rPr>
          <w:rFonts w:asciiTheme="minorHAnsi" w:hAnsiTheme="minorHAnsi" w:cstheme="minorHAnsi"/>
          <w:b w:val="0"/>
        </w:rPr>
        <w:t>Damashek</w:t>
      </w:r>
      <w:proofErr w:type="spellEnd"/>
      <w:r w:rsidR="00F35456" w:rsidRPr="00025317">
        <w:rPr>
          <w:rFonts w:asciiTheme="minorHAnsi" w:hAnsiTheme="minorHAnsi" w:cstheme="minorHAnsi"/>
          <w:b w:val="0"/>
        </w:rPr>
        <w:t xml:space="preserve"> et al. 2015; Liu et al. 2017; Kim et al. 2016; </w:t>
      </w:r>
      <w:proofErr w:type="spellStart"/>
      <w:r w:rsidR="00F35456" w:rsidRPr="00025317">
        <w:rPr>
          <w:rFonts w:asciiTheme="minorHAnsi" w:hAnsiTheme="minorHAnsi" w:cstheme="minorHAnsi"/>
          <w:b w:val="0"/>
        </w:rPr>
        <w:t>Repert</w:t>
      </w:r>
      <w:proofErr w:type="spellEnd"/>
      <w:r w:rsidR="00F35456" w:rsidRPr="00025317">
        <w:rPr>
          <w:rFonts w:asciiTheme="minorHAnsi" w:hAnsiTheme="minorHAnsi" w:cstheme="minorHAnsi"/>
          <w:b w:val="0"/>
        </w:rPr>
        <w:t xml:space="preserve"> et al. 2014). Anthropogenic activities </w:t>
      </w:r>
      <w:r w:rsidR="00037326" w:rsidRPr="00025317">
        <w:rPr>
          <w:rFonts w:asciiTheme="minorHAnsi" w:hAnsiTheme="minorHAnsi" w:cstheme="minorHAnsi"/>
          <w:b w:val="0"/>
        </w:rPr>
        <w:t>such as</w:t>
      </w:r>
      <w:r w:rsidR="00F35456" w:rsidRPr="00025317">
        <w:rPr>
          <w:rFonts w:asciiTheme="minorHAnsi" w:hAnsiTheme="minorHAnsi" w:cstheme="minorHAnsi"/>
          <w:b w:val="0"/>
        </w:rPr>
        <w:t xml:space="preserve"> land use</w:t>
      </w:r>
      <w:r w:rsidR="00037326" w:rsidRPr="00025317">
        <w:rPr>
          <w:rFonts w:asciiTheme="minorHAnsi" w:hAnsiTheme="minorHAnsi" w:cstheme="minorHAnsi"/>
          <w:b w:val="0"/>
        </w:rPr>
        <w:t xml:space="preserve"> alteration</w:t>
      </w:r>
      <w:r w:rsidR="00F35456" w:rsidRPr="00025317">
        <w:rPr>
          <w:rFonts w:asciiTheme="minorHAnsi" w:hAnsiTheme="minorHAnsi" w:cstheme="minorHAnsi"/>
          <w:b w:val="0"/>
        </w:rPr>
        <w:t xml:space="preserve"> and wastewater treatment can alter the composition and function of sediment microbial communities </w:t>
      </w:r>
      <w:r w:rsidR="00013409" w:rsidRPr="00025317">
        <w:rPr>
          <w:rFonts w:asciiTheme="minorHAnsi" w:hAnsiTheme="minorHAnsi" w:cstheme="minorHAnsi"/>
          <w:b w:val="0"/>
        </w:rPr>
        <w:t xml:space="preserve">and thereby impact nutrient cycling </w:t>
      </w:r>
      <w:r w:rsidR="00F35456" w:rsidRPr="00025317">
        <w:rPr>
          <w:rFonts w:asciiTheme="minorHAnsi" w:hAnsiTheme="minorHAnsi" w:cstheme="minorHAnsi"/>
          <w:b w:val="0"/>
        </w:rPr>
        <w:t>(e.g., Gibbons et al. 2014; Price et al. 2018; Wakelin et al. 2008)</w:t>
      </w:r>
      <w:r w:rsidR="00013409" w:rsidRPr="00025317">
        <w:rPr>
          <w:rFonts w:asciiTheme="minorHAnsi" w:hAnsiTheme="minorHAnsi" w:cstheme="minorHAnsi"/>
          <w:b w:val="0"/>
        </w:rPr>
        <w:t xml:space="preserve">. </w:t>
      </w:r>
      <w:r w:rsidR="00037326" w:rsidRPr="00025317">
        <w:rPr>
          <w:rFonts w:asciiTheme="minorHAnsi" w:hAnsiTheme="minorHAnsi" w:cstheme="minorHAnsi"/>
          <w:b w:val="0"/>
        </w:rPr>
        <w:t>The Bay-Delta ecosystem is impacted by multiple stressors, including urbanization and wastewater effluent, yet</w:t>
      </w:r>
      <w:r w:rsidR="00013409" w:rsidRPr="00025317">
        <w:rPr>
          <w:rFonts w:asciiTheme="minorHAnsi" w:hAnsiTheme="minorHAnsi" w:cstheme="minorHAnsi"/>
          <w:b w:val="0"/>
        </w:rPr>
        <w:t xml:space="preserve"> little is known about the composition and functional potential of </w:t>
      </w:r>
      <w:r w:rsidR="00037326" w:rsidRPr="00025317">
        <w:rPr>
          <w:rFonts w:asciiTheme="minorHAnsi" w:hAnsiTheme="minorHAnsi" w:cstheme="minorHAnsi"/>
          <w:b w:val="0"/>
        </w:rPr>
        <w:t xml:space="preserve">sediment </w:t>
      </w:r>
      <w:r w:rsidR="00013409" w:rsidRPr="00025317">
        <w:rPr>
          <w:rFonts w:asciiTheme="minorHAnsi" w:hAnsiTheme="minorHAnsi" w:cstheme="minorHAnsi"/>
          <w:b w:val="0"/>
        </w:rPr>
        <w:t>microbial communities involved in nutrient cycling</w:t>
      </w:r>
      <w:r w:rsidR="00992722" w:rsidRPr="00025317">
        <w:rPr>
          <w:rFonts w:asciiTheme="minorHAnsi" w:hAnsiTheme="minorHAnsi" w:cstheme="minorHAnsi"/>
          <w:b w:val="0"/>
        </w:rPr>
        <w:t xml:space="preserve">. </w:t>
      </w:r>
    </w:p>
    <w:p w14:paraId="33130291" w14:textId="4B078301" w:rsidR="001D6845" w:rsidRPr="00395567" w:rsidRDefault="00992722" w:rsidP="002A053E">
      <w:pPr>
        <w:pStyle w:val="Title"/>
        <w:ind w:firstLine="540"/>
        <w:jc w:val="left"/>
        <w:rPr>
          <w:rFonts w:asciiTheme="minorHAnsi" w:hAnsiTheme="minorHAnsi" w:cstheme="minorHAnsi"/>
          <w:b w:val="0"/>
        </w:rPr>
      </w:pPr>
      <w:r w:rsidRPr="000239B4">
        <w:rPr>
          <w:rFonts w:asciiTheme="minorHAnsi" w:hAnsiTheme="minorHAnsi" w:cstheme="minorHAnsi"/>
          <w:b w:val="0"/>
          <w:highlight w:val="yellow"/>
        </w:rPr>
        <w:t>In this proposed work</w:t>
      </w:r>
      <w:r w:rsidR="00013409" w:rsidRPr="000239B4">
        <w:rPr>
          <w:rFonts w:asciiTheme="minorHAnsi" w:hAnsiTheme="minorHAnsi" w:cstheme="minorHAnsi"/>
          <w:b w:val="0"/>
          <w:highlight w:val="yellow"/>
        </w:rPr>
        <w:t xml:space="preserve">, </w:t>
      </w:r>
      <w:r w:rsidRPr="000239B4">
        <w:rPr>
          <w:rFonts w:asciiTheme="minorHAnsi" w:hAnsiTheme="minorHAnsi" w:cstheme="minorHAnsi"/>
          <w:b w:val="0"/>
          <w:highlight w:val="yellow"/>
        </w:rPr>
        <w:t xml:space="preserve">we use geochemical and </w:t>
      </w:r>
      <w:r w:rsidR="00F7594D" w:rsidRPr="000239B4">
        <w:rPr>
          <w:rFonts w:asciiTheme="minorHAnsi" w:hAnsiTheme="minorHAnsi" w:cstheme="minorHAnsi"/>
          <w:b w:val="0"/>
          <w:highlight w:val="yellow"/>
        </w:rPr>
        <w:t>genomic approaches to quantify</w:t>
      </w:r>
      <w:r w:rsidRPr="000239B4">
        <w:rPr>
          <w:rFonts w:asciiTheme="minorHAnsi" w:hAnsiTheme="minorHAnsi" w:cstheme="minorHAnsi"/>
          <w:b w:val="0"/>
          <w:highlight w:val="yellow"/>
        </w:rPr>
        <w:t xml:space="preserve"> sediment nutrien</w:t>
      </w:r>
      <w:r w:rsidR="00F7594D" w:rsidRPr="000239B4">
        <w:rPr>
          <w:rFonts w:asciiTheme="minorHAnsi" w:hAnsiTheme="minorHAnsi" w:cstheme="minorHAnsi"/>
          <w:b w:val="0"/>
          <w:highlight w:val="yellow"/>
        </w:rPr>
        <w:t>t content</w:t>
      </w:r>
      <w:r w:rsidR="004B3A25" w:rsidRPr="000239B4">
        <w:rPr>
          <w:rFonts w:asciiTheme="minorHAnsi" w:hAnsiTheme="minorHAnsi" w:cstheme="minorHAnsi"/>
          <w:b w:val="0"/>
          <w:highlight w:val="yellow"/>
        </w:rPr>
        <w:t xml:space="preserve"> </w:t>
      </w:r>
      <w:r w:rsidR="00F7594D" w:rsidRPr="000239B4">
        <w:rPr>
          <w:rFonts w:asciiTheme="minorHAnsi" w:hAnsiTheme="minorHAnsi" w:cstheme="minorHAnsi"/>
          <w:b w:val="0"/>
          <w:highlight w:val="yellow"/>
        </w:rPr>
        <w:t>and identify</w:t>
      </w:r>
      <w:r w:rsidRPr="000239B4">
        <w:rPr>
          <w:rFonts w:asciiTheme="minorHAnsi" w:hAnsiTheme="minorHAnsi" w:cstheme="minorHAnsi"/>
          <w:b w:val="0"/>
          <w:highlight w:val="yellow"/>
        </w:rPr>
        <w:t xml:space="preserve"> the microorganisms and metabolisms </w:t>
      </w:r>
      <w:r w:rsidR="000E69CD" w:rsidRPr="000239B4">
        <w:rPr>
          <w:rFonts w:asciiTheme="minorHAnsi" w:hAnsiTheme="minorHAnsi" w:cstheme="minorHAnsi"/>
          <w:b w:val="0"/>
          <w:highlight w:val="yellow"/>
        </w:rPr>
        <w:t xml:space="preserve">that </w:t>
      </w:r>
      <w:r w:rsidRPr="000239B4">
        <w:rPr>
          <w:rFonts w:asciiTheme="minorHAnsi" w:hAnsiTheme="minorHAnsi" w:cstheme="minorHAnsi"/>
          <w:b w:val="0"/>
          <w:highlight w:val="yellow"/>
        </w:rPr>
        <w:t>transform nutrients</w:t>
      </w:r>
      <w:r w:rsidR="000E69CD" w:rsidRPr="000239B4">
        <w:rPr>
          <w:rFonts w:asciiTheme="minorHAnsi" w:hAnsiTheme="minorHAnsi" w:cstheme="minorHAnsi"/>
          <w:b w:val="0"/>
          <w:highlight w:val="yellow"/>
        </w:rPr>
        <w:t xml:space="preserve"> in Bay-Delta sediments</w:t>
      </w:r>
      <w:r w:rsidRPr="000239B4">
        <w:rPr>
          <w:rFonts w:asciiTheme="minorHAnsi" w:hAnsiTheme="minorHAnsi" w:cstheme="minorHAnsi"/>
          <w:b w:val="0"/>
          <w:highlight w:val="yellow"/>
        </w:rPr>
        <w:t>.</w:t>
      </w:r>
      <w:r w:rsidR="001D6845" w:rsidRPr="000239B4">
        <w:rPr>
          <w:rFonts w:asciiTheme="minorHAnsi" w:hAnsiTheme="minorHAnsi" w:cstheme="minorHAnsi"/>
          <w:b w:val="0"/>
          <w:highlight w:val="yellow"/>
        </w:rPr>
        <w:t xml:space="preserve"> </w:t>
      </w:r>
      <w:r w:rsidR="00037326" w:rsidRPr="000239B4">
        <w:rPr>
          <w:rFonts w:asciiTheme="minorHAnsi" w:hAnsiTheme="minorHAnsi" w:cstheme="minorHAnsi"/>
          <w:b w:val="0"/>
          <w:highlight w:val="yellow"/>
        </w:rPr>
        <w:t>This information can be used to</w:t>
      </w:r>
      <w:r w:rsidR="0046506D" w:rsidRPr="000239B4">
        <w:rPr>
          <w:rFonts w:asciiTheme="minorHAnsi" w:hAnsiTheme="minorHAnsi" w:cstheme="minorHAnsi"/>
          <w:b w:val="0"/>
          <w:highlight w:val="yellow"/>
        </w:rPr>
        <w:t xml:space="preserve"> help close the mass balance of N loads to the </w:t>
      </w:r>
      <w:r w:rsidR="00025317" w:rsidRPr="000239B4">
        <w:rPr>
          <w:rFonts w:asciiTheme="minorHAnsi" w:hAnsiTheme="minorHAnsi" w:cstheme="minorHAnsi"/>
          <w:b w:val="0"/>
          <w:highlight w:val="yellow"/>
        </w:rPr>
        <w:t>D</w:t>
      </w:r>
      <w:r w:rsidR="0046506D" w:rsidRPr="000239B4">
        <w:rPr>
          <w:rFonts w:asciiTheme="minorHAnsi" w:hAnsiTheme="minorHAnsi" w:cstheme="minorHAnsi"/>
          <w:b w:val="0"/>
          <w:highlight w:val="yellow"/>
        </w:rPr>
        <w:t>elta and to understand how different environmental conditions impact microbial nutrient cycling.</w:t>
      </w:r>
    </w:p>
    <w:p w14:paraId="7B564EBC" w14:textId="2E53743D" w:rsidR="001D6845" w:rsidRPr="004B3A25" w:rsidRDefault="001D6845" w:rsidP="001D6845">
      <w:pPr>
        <w:pStyle w:val="Title"/>
        <w:ind w:firstLine="540"/>
        <w:jc w:val="left"/>
        <w:rPr>
          <w:rFonts w:asciiTheme="minorHAnsi" w:hAnsiTheme="minorHAnsi" w:cstheme="minorHAnsi"/>
          <w:b w:val="0"/>
        </w:rPr>
      </w:pPr>
      <w:r w:rsidRPr="000239B4">
        <w:rPr>
          <w:rFonts w:asciiTheme="minorHAnsi" w:hAnsiTheme="minorHAnsi" w:cstheme="minorHAnsi"/>
          <w:b w:val="0"/>
          <w:highlight w:val="yellow"/>
        </w:rPr>
        <w:t xml:space="preserve">Identifying sources and sinks of N in the Delta, and understanding how N is processed, is currently of great relevance to the Central Valley Regional Water Quality Control Board (CVRWCB) tasked with assessing the need for numeric nutrient water quality </w:t>
      </w:r>
      <w:proofErr w:type="gramStart"/>
      <w:r w:rsidRPr="000239B4">
        <w:rPr>
          <w:rFonts w:asciiTheme="minorHAnsi" w:hAnsiTheme="minorHAnsi" w:cstheme="minorHAnsi"/>
          <w:b w:val="0"/>
          <w:highlight w:val="yellow"/>
        </w:rPr>
        <w:t>objectives, and</w:t>
      </w:r>
      <w:proofErr w:type="gramEnd"/>
      <w:r w:rsidRPr="000239B4">
        <w:rPr>
          <w:rFonts w:asciiTheme="minorHAnsi" w:hAnsiTheme="minorHAnsi" w:cstheme="minorHAnsi"/>
          <w:b w:val="0"/>
          <w:highlight w:val="yellow"/>
        </w:rPr>
        <w:t xml:space="preserve"> is of particular immediate relevance in light of the upcoming large change in nitrogen </w:t>
      </w:r>
      <w:r w:rsidRPr="000239B4">
        <w:rPr>
          <w:rFonts w:asciiTheme="minorHAnsi" w:hAnsiTheme="minorHAnsi" w:cstheme="minorHAnsi"/>
          <w:b w:val="0"/>
          <w:color w:val="000000" w:themeColor="text1"/>
          <w:highlight w:val="yellow"/>
        </w:rPr>
        <w:t>inputs to the Delta resulting from upgrades to Sacramento’s regional wastewater treatment plant (Regional San</w:t>
      </w:r>
      <w:r w:rsidRPr="000239B4">
        <w:rPr>
          <w:rFonts w:asciiTheme="minorHAnsi" w:hAnsiTheme="minorHAnsi" w:cstheme="minorHAnsi"/>
          <w:b w:val="0"/>
          <w:highlight w:val="yellow"/>
        </w:rPr>
        <w:t>).</w:t>
      </w:r>
      <w:r w:rsidRPr="004B3A25">
        <w:rPr>
          <w:rFonts w:asciiTheme="minorHAnsi" w:hAnsiTheme="minorHAnsi" w:cstheme="minorHAnsi"/>
          <w:b w:val="0"/>
        </w:rPr>
        <w:t xml:space="preserve">  For example, in the CVRWCB’s draft Delta Nutrient Research Plan the need to quantify sediment nutrient pools and availability, along with determining controls on </w:t>
      </w:r>
      <w:r w:rsidRPr="004B3A25">
        <w:rPr>
          <w:rFonts w:asciiTheme="minorHAnsi" w:hAnsiTheme="minorHAnsi" w:cstheme="minorHAnsi"/>
          <w:b w:val="0"/>
        </w:rPr>
        <w:lastRenderedPageBreak/>
        <w:t xml:space="preserve">biogeochemical rates, was identified as key missing components needed to develop numerical, process-based models (Cooke et al., 2018).  </w:t>
      </w:r>
    </w:p>
    <w:p w14:paraId="0134548A" w14:textId="0F7E6B27" w:rsidR="00E7000A" w:rsidRPr="004B3A25" w:rsidRDefault="00E7000A" w:rsidP="004B3A25">
      <w:pPr>
        <w:pStyle w:val="Title"/>
        <w:ind w:firstLine="540"/>
        <w:jc w:val="left"/>
        <w:rPr>
          <w:rFonts w:asciiTheme="minorHAnsi" w:hAnsiTheme="minorHAnsi" w:cstheme="minorHAnsi"/>
          <w:b w:val="0"/>
        </w:rPr>
      </w:pPr>
      <w:r w:rsidRPr="004B3A25">
        <w:rPr>
          <w:rFonts w:asciiTheme="minorHAnsi" w:hAnsiTheme="minorHAnsi" w:cstheme="minorHAnsi"/>
          <w:b w:val="0"/>
        </w:rPr>
        <w:t>The overarching objectives of this study are to develop and apply approaches to characterize (1) sediment nutrient inventories and availability and (2) the composition and functional potential of microbial communities involved in nutrient cycling. This work is relevant to understanding how nutrient transformations vary across spatial gradients of anthropogenic inputs and to understanding how nutrient transformations are likely to change as anthropogenic inputs increase or decrease through time</w:t>
      </w:r>
    </w:p>
    <w:p w14:paraId="2C8C6515" w14:textId="77777777" w:rsidR="00E7000A" w:rsidRPr="00EC3C69" w:rsidRDefault="00E7000A" w:rsidP="001D6845">
      <w:pPr>
        <w:pStyle w:val="Title"/>
        <w:ind w:firstLine="540"/>
        <w:jc w:val="left"/>
        <w:rPr>
          <w:rFonts w:asciiTheme="minorHAnsi" w:hAnsiTheme="minorHAnsi" w:cstheme="minorHAnsi"/>
          <w:b w:val="0"/>
          <w:color w:val="000000" w:themeColor="text1"/>
        </w:rPr>
      </w:pPr>
    </w:p>
    <w:p w14:paraId="6340A71F" w14:textId="77777777" w:rsidR="00540CCB" w:rsidRDefault="00540CCB" w:rsidP="00540CCB">
      <w:pPr>
        <w:spacing w:after="0" w:line="240" w:lineRule="auto"/>
      </w:pPr>
    </w:p>
    <w:p w14:paraId="4F7E6923" w14:textId="77777777" w:rsidR="00540CCB" w:rsidRPr="00540CCB" w:rsidRDefault="00540CCB" w:rsidP="00540CCB">
      <w:pPr>
        <w:spacing w:after="0" w:line="240" w:lineRule="auto"/>
        <w:rPr>
          <w:i/>
          <w:color w:val="4472C4" w:themeColor="accent1"/>
        </w:rPr>
      </w:pPr>
      <w:r w:rsidRPr="00540CCB">
        <w:rPr>
          <w:i/>
          <w:color w:val="4472C4" w:themeColor="accent1"/>
        </w:rPr>
        <w:t>4. Participating scientists and technical staff (name, affiliation, percent time)</w:t>
      </w:r>
    </w:p>
    <w:p w14:paraId="3F9442B9" w14:textId="49ADD033" w:rsidR="00540CCB" w:rsidRDefault="00540CCB" w:rsidP="00540CCB">
      <w:pPr>
        <w:spacing w:after="0" w:line="240" w:lineRule="auto"/>
      </w:pPr>
      <w:r>
        <w:t>Tamara Kraus, USGS California WSC, 15% time, 2 years</w:t>
      </w:r>
    </w:p>
    <w:p w14:paraId="2C19114A" w14:textId="29DBFA6B" w:rsidR="002B7923" w:rsidRDefault="002B7923" w:rsidP="00540CCB">
      <w:pPr>
        <w:spacing w:after="0" w:line="240" w:lineRule="auto"/>
      </w:pPr>
      <w:r>
        <w:t>John Warden, USGS California WSC, 15% time, 2 years</w:t>
      </w:r>
    </w:p>
    <w:p w14:paraId="3F38BE17" w14:textId="77777777" w:rsidR="00540CCB" w:rsidRDefault="00540CCB" w:rsidP="00540CCB">
      <w:pPr>
        <w:spacing w:after="0" w:line="240" w:lineRule="auto"/>
      </w:pPr>
      <w:r>
        <w:t>Misc. Technical support staff ~5% for 2 years</w:t>
      </w:r>
    </w:p>
    <w:p w14:paraId="06CF5A93" w14:textId="77777777" w:rsidR="002B7923" w:rsidRDefault="002B7923" w:rsidP="00540CCB">
      <w:pPr>
        <w:spacing w:after="0" w:line="240" w:lineRule="auto"/>
      </w:pPr>
    </w:p>
    <w:p w14:paraId="7EE14202" w14:textId="7722A2E0" w:rsidR="00540CCB" w:rsidRDefault="00540CCB" w:rsidP="00540CCB">
      <w:pPr>
        <w:spacing w:after="0" w:line="240" w:lineRule="auto"/>
      </w:pPr>
      <w:r>
        <w:t xml:space="preserve">Note: we welcome collaborations with others on this study and will look for ways to leverage this work with ongoing efforts.  </w:t>
      </w:r>
    </w:p>
    <w:p w14:paraId="22AE35C6" w14:textId="77777777" w:rsidR="00540CCB" w:rsidRDefault="00540CCB" w:rsidP="00540CCB">
      <w:pPr>
        <w:spacing w:after="0" w:line="240" w:lineRule="auto"/>
      </w:pPr>
    </w:p>
    <w:p w14:paraId="1051A7E7" w14:textId="77777777" w:rsidR="00540CCB" w:rsidRPr="00540CCB" w:rsidRDefault="00540CCB" w:rsidP="00540CCB">
      <w:pPr>
        <w:spacing w:after="0" w:line="240" w:lineRule="auto"/>
        <w:rPr>
          <w:i/>
          <w:color w:val="4472C4" w:themeColor="accent1"/>
        </w:rPr>
      </w:pPr>
      <w:r w:rsidRPr="00540CCB">
        <w:rPr>
          <w:i/>
          <w:color w:val="4472C4" w:themeColor="accent1"/>
        </w:rPr>
        <w:t>5. Rough fully burdened budget:</w:t>
      </w:r>
    </w:p>
    <w:p w14:paraId="27A2FA86" w14:textId="03EDA2D4" w:rsidR="00540CCB" w:rsidRDefault="00540CCB" w:rsidP="00540CCB">
      <w:pPr>
        <w:spacing w:after="0" w:line="240" w:lineRule="auto"/>
      </w:pPr>
      <w:r>
        <w:t>$</w:t>
      </w:r>
      <w:r w:rsidR="002B7923">
        <w:t>2</w:t>
      </w:r>
      <w:r w:rsidR="004B3A25">
        <w:t>5</w:t>
      </w:r>
      <w:r w:rsidR="00E7000A">
        <w:t>0</w:t>
      </w:r>
      <w:r w:rsidR="002B7923">
        <w:t>,000 over 2 years</w:t>
      </w:r>
    </w:p>
    <w:p w14:paraId="32CE53D4" w14:textId="77777777" w:rsidR="002B7923" w:rsidRDefault="002B7923" w:rsidP="00540CCB">
      <w:pPr>
        <w:spacing w:after="0" w:line="240" w:lineRule="auto"/>
      </w:pPr>
    </w:p>
    <w:p w14:paraId="3271A399" w14:textId="5817BFCA" w:rsidR="00540CCB" w:rsidRDefault="00540CCB" w:rsidP="00540CCB">
      <w:pPr>
        <w:spacing w:after="0" w:line="240" w:lineRule="auto"/>
      </w:pPr>
      <w:r>
        <w:t xml:space="preserve">Potential funding to augment this work could be obtained from </w:t>
      </w:r>
      <w:r w:rsidR="002B7923">
        <w:t xml:space="preserve">the Delta Regional Monitoring Program and the Delta Science Program. </w:t>
      </w:r>
    </w:p>
    <w:p w14:paraId="4C9DF1E8" w14:textId="77777777" w:rsidR="00540CCB" w:rsidRDefault="00540CCB" w:rsidP="00540CCB">
      <w:pPr>
        <w:spacing w:after="0" w:line="240" w:lineRule="auto"/>
      </w:pPr>
    </w:p>
    <w:p w14:paraId="62563C80" w14:textId="77777777" w:rsidR="00540CCB" w:rsidRPr="00540CCB" w:rsidRDefault="00540CCB" w:rsidP="00540CCB">
      <w:pPr>
        <w:spacing w:after="0" w:line="240" w:lineRule="auto"/>
        <w:rPr>
          <w:i/>
          <w:color w:val="4472C4" w:themeColor="accent1"/>
        </w:rPr>
      </w:pPr>
      <w:r w:rsidRPr="00540CCB">
        <w:rPr>
          <w:i/>
          <w:color w:val="4472C4" w:themeColor="accent1"/>
        </w:rPr>
        <w:t>6. Primary Contact</w:t>
      </w:r>
    </w:p>
    <w:p w14:paraId="215BF7EF" w14:textId="77777777" w:rsidR="00540CCB" w:rsidRDefault="00540CCB" w:rsidP="00540CCB">
      <w:pPr>
        <w:spacing w:after="0" w:line="240" w:lineRule="auto"/>
      </w:pPr>
      <w:r>
        <w:t>Tamara Kraus, tkraus@usgs.gov, 916-278-3260</w:t>
      </w:r>
    </w:p>
    <w:p w14:paraId="604341D9" w14:textId="77777777" w:rsidR="008C6E1B" w:rsidRDefault="008C6E1B" w:rsidP="00540CCB">
      <w:pPr>
        <w:spacing w:after="0" w:line="240" w:lineRule="auto"/>
      </w:pPr>
    </w:p>
    <w:p w14:paraId="798B46FF" w14:textId="77777777" w:rsidR="008A0581" w:rsidRDefault="008A0581" w:rsidP="00540CCB">
      <w:pPr>
        <w:spacing w:after="0" w:line="240" w:lineRule="auto"/>
      </w:pPr>
    </w:p>
    <w:p w14:paraId="2CD0A2B5" w14:textId="77777777" w:rsidR="006F2664" w:rsidRDefault="006F2664" w:rsidP="00540CCB">
      <w:pPr>
        <w:spacing w:after="0" w:line="240" w:lineRule="auto"/>
        <w:rPr>
          <w:highlight w:val="yellow"/>
        </w:rPr>
      </w:pPr>
    </w:p>
    <w:p w14:paraId="7CA68449" w14:textId="77777777" w:rsidR="006F2664" w:rsidRDefault="006F2664" w:rsidP="00540CCB">
      <w:pPr>
        <w:spacing w:after="0" w:line="240" w:lineRule="auto"/>
        <w:rPr>
          <w:highlight w:val="yellow"/>
        </w:rPr>
      </w:pPr>
    </w:p>
    <w:p w14:paraId="489B76C0" w14:textId="77777777" w:rsidR="006F2664" w:rsidRDefault="006F2664" w:rsidP="00540CCB">
      <w:pPr>
        <w:spacing w:after="0" w:line="240" w:lineRule="auto"/>
        <w:rPr>
          <w:highlight w:val="yellow"/>
        </w:rPr>
      </w:pPr>
    </w:p>
    <w:p w14:paraId="78AAFFCB" w14:textId="3CA941CB" w:rsidR="006F2664" w:rsidRDefault="008B04AB" w:rsidP="007A575B">
      <w:pPr>
        <w:spacing w:after="0" w:line="240" w:lineRule="auto"/>
        <w:jc w:val="center"/>
        <w:rPr>
          <w:highlight w:val="yellow"/>
        </w:rPr>
      </w:pPr>
      <w:r w:rsidRPr="00EC3C69">
        <w:rPr>
          <w:noProof/>
          <w:sz w:val="24"/>
          <w:szCs w:val="24"/>
        </w:rPr>
        <w:lastRenderedPageBreak/>
        <w:drawing>
          <wp:inline distT="0" distB="0" distL="0" distR="0" wp14:anchorId="444DD7B8" wp14:editId="244A7551">
            <wp:extent cx="2609850" cy="652930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4155" cy="6590110"/>
                    </a:xfrm>
                    <a:prstGeom prst="rect">
                      <a:avLst/>
                    </a:prstGeom>
                  </pic:spPr>
                </pic:pic>
              </a:graphicData>
            </a:graphic>
          </wp:inline>
        </w:drawing>
      </w:r>
      <w:bookmarkStart w:id="0" w:name="_GoBack"/>
      <w:bookmarkEnd w:id="0"/>
    </w:p>
    <w:p w14:paraId="26AF50DC" w14:textId="77777777" w:rsidR="006F2664" w:rsidRPr="00FF0BA4" w:rsidRDefault="006F2664" w:rsidP="00FF0BA4">
      <w:pPr>
        <w:spacing w:after="0" w:line="240" w:lineRule="auto"/>
        <w:ind w:left="720"/>
        <w:rPr>
          <w:sz w:val="20"/>
          <w:szCs w:val="20"/>
          <w:highlight w:val="yellow"/>
        </w:rPr>
      </w:pPr>
    </w:p>
    <w:p w14:paraId="0F0ABDEE" w14:textId="2A71EDC7" w:rsidR="008A0581" w:rsidRPr="008B04AB" w:rsidRDefault="00FF0BA4" w:rsidP="008B04AB">
      <w:pPr>
        <w:pStyle w:val="NoSpacing"/>
        <w:rPr>
          <w:rFonts w:cstheme="minorHAnsi"/>
        </w:rPr>
      </w:pPr>
      <w:r w:rsidRPr="008B04AB">
        <w:rPr>
          <w:rFonts w:cstheme="minorHAnsi"/>
          <w:b/>
          <w:color w:val="1F497D"/>
        </w:rPr>
        <w:t>Figure 1.</w:t>
      </w:r>
      <w:r w:rsidR="008A0581" w:rsidRPr="008B04AB">
        <w:rPr>
          <w:rFonts w:cstheme="minorHAnsi"/>
          <w:b/>
          <w:color w:val="1F497D"/>
        </w:rPr>
        <w:t xml:space="preserve"> </w:t>
      </w:r>
      <w:r w:rsidR="008B04AB" w:rsidRPr="008B04AB">
        <w:rPr>
          <w:rFonts w:cstheme="minorHAnsi"/>
        </w:rPr>
        <w:t xml:space="preserve">Data from Kraus et al. (2017) showing nutrient concentrations along the </w:t>
      </w:r>
      <w:proofErr w:type="spellStart"/>
      <w:r w:rsidR="008B04AB" w:rsidRPr="008B04AB">
        <w:rPr>
          <w:rFonts w:cstheme="minorHAnsi"/>
        </w:rPr>
        <w:t>Sacaramento</w:t>
      </w:r>
      <w:proofErr w:type="spellEnd"/>
      <w:r w:rsidR="008B04AB" w:rsidRPr="008B04AB">
        <w:rPr>
          <w:rFonts w:cstheme="minorHAnsi"/>
        </w:rPr>
        <w:t xml:space="preserve"> River above and below Sacramento’s wastewater treatment plant </w:t>
      </w:r>
      <w:r w:rsidR="008B04AB" w:rsidRPr="000239B4">
        <w:rPr>
          <w:rFonts w:cstheme="minorHAnsi"/>
          <w:highlight w:val="yellow"/>
        </w:rPr>
        <w:t>(WWTP)</w:t>
      </w:r>
      <w:r w:rsidR="008B04AB" w:rsidRPr="008B04AB">
        <w:rPr>
          <w:rFonts w:cstheme="minorHAnsi"/>
        </w:rPr>
        <w:t xml:space="preserve"> outflow location in the absence (-EFF) versus presence (+EFF) of effluent inputs high in ammonium.  Increases in nutrient concentrations observed below the WWTP with downstream travel in the absence of effluent suggest sediments located downstream, but not upstream, of the WWTP were a source of nutrients to the water column. [Data are plotted in relation to downriver travel time, with zero indicating the time the parcel passed the WWTP. Oct, October; </w:t>
      </w:r>
      <w:proofErr w:type="spellStart"/>
      <w:r w:rsidR="008B04AB" w:rsidRPr="008B04AB">
        <w:rPr>
          <w:rFonts w:cstheme="minorHAnsi"/>
        </w:rPr>
        <w:t>AmR</w:t>
      </w:r>
      <w:proofErr w:type="spellEnd"/>
      <w:r w:rsidR="008B04AB" w:rsidRPr="008B04AB">
        <w:rPr>
          <w:rFonts w:cstheme="minorHAnsi"/>
        </w:rPr>
        <w:t>, American River; I80 Br, Interstate-80 Bridge at RM 63.]</w:t>
      </w:r>
    </w:p>
    <w:p w14:paraId="2A24FFBF" w14:textId="77777777" w:rsidR="008A0581" w:rsidRPr="008B04AB" w:rsidRDefault="008A0581" w:rsidP="00540CCB">
      <w:pPr>
        <w:spacing w:after="0" w:line="240" w:lineRule="auto"/>
      </w:pPr>
    </w:p>
    <w:p w14:paraId="68740346" w14:textId="7EE67DD6" w:rsidR="00810C7A" w:rsidRDefault="00FF0BA4" w:rsidP="00FF0BA4">
      <w:pPr>
        <w:spacing w:after="0" w:line="240" w:lineRule="auto"/>
      </w:pPr>
      <w:r>
        <w:lastRenderedPageBreak/>
        <w:t xml:space="preserve">  </w:t>
      </w:r>
    </w:p>
    <w:p w14:paraId="6C3C9FC6" w14:textId="77777777" w:rsidR="008B04AB" w:rsidRDefault="008B04AB" w:rsidP="008B04AB">
      <w:pPr>
        <w:pStyle w:val="NoSpacing"/>
        <w:jc w:val="center"/>
        <w:rPr>
          <w:sz w:val="24"/>
          <w:szCs w:val="24"/>
        </w:rPr>
      </w:pPr>
      <w:r>
        <w:rPr>
          <w:noProof/>
        </w:rPr>
        <w:drawing>
          <wp:inline distT="0" distB="0" distL="0" distR="0" wp14:anchorId="59DA47AF" wp14:editId="40659B59">
            <wp:extent cx="5220959" cy="287487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6569" cy="2877963"/>
                    </a:xfrm>
                    <a:prstGeom prst="rect">
                      <a:avLst/>
                    </a:prstGeom>
                  </pic:spPr>
                </pic:pic>
              </a:graphicData>
            </a:graphic>
          </wp:inline>
        </w:drawing>
      </w:r>
    </w:p>
    <w:p w14:paraId="6CCA579A" w14:textId="77777777" w:rsidR="008B04AB" w:rsidRDefault="008B04AB" w:rsidP="008B04AB">
      <w:pPr>
        <w:pStyle w:val="NoSpacing"/>
        <w:jc w:val="center"/>
        <w:rPr>
          <w:sz w:val="24"/>
          <w:szCs w:val="24"/>
        </w:rPr>
      </w:pPr>
    </w:p>
    <w:p w14:paraId="298FA5B5" w14:textId="77777777" w:rsidR="008B04AB" w:rsidRDefault="008B04AB" w:rsidP="008B04AB">
      <w:pPr>
        <w:pStyle w:val="NoSpacing"/>
        <w:jc w:val="center"/>
        <w:rPr>
          <w:sz w:val="24"/>
          <w:szCs w:val="24"/>
        </w:rPr>
      </w:pPr>
      <w:r>
        <w:rPr>
          <w:noProof/>
        </w:rPr>
        <w:drawing>
          <wp:inline distT="0" distB="0" distL="0" distR="0" wp14:anchorId="7220EC57" wp14:editId="7417B266">
            <wp:extent cx="3771706" cy="328009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0351" cy="3305007"/>
                    </a:xfrm>
                    <a:prstGeom prst="rect">
                      <a:avLst/>
                    </a:prstGeom>
                  </pic:spPr>
                </pic:pic>
              </a:graphicData>
            </a:graphic>
          </wp:inline>
        </w:drawing>
      </w:r>
    </w:p>
    <w:p w14:paraId="06D4E6DA" w14:textId="77777777" w:rsidR="008B04AB" w:rsidRDefault="008B04AB" w:rsidP="008B04AB">
      <w:pPr>
        <w:pStyle w:val="NoSpacing"/>
        <w:jc w:val="center"/>
        <w:rPr>
          <w:sz w:val="24"/>
          <w:szCs w:val="24"/>
        </w:rPr>
      </w:pPr>
    </w:p>
    <w:p w14:paraId="5183CAD2" w14:textId="18BC8DCC" w:rsidR="008A0581" w:rsidRPr="008B04AB" w:rsidRDefault="008B04AB" w:rsidP="008B04AB">
      <w:pPr>
        <w:pStyle w:val="NoSpacing"/>
      </w:pPr>
      <w:r w:rsidRPr="008B04AB">
        <w:rPr>
          <w:rFonts w:cstheme="minorHAnsi"/>
          <w:b/>
          <w:color w:val="1F497D"/>
        </w:rPr>
        <w:t>Figure 2.</w:t>
      </w:r>
      <w:r w:rsidRPr="008B04AB">
        <w:rPr>
          <w:rFonts w:cstheme="minorHAnsi"/>
          <w:color w:val="231F20"/>
        </w:rPr>
        <w:t xml:space="preserve"> Figures from </w:t>
      </w:r>
      <w:proofErr w:type="spellStart"/>
      <w:r w:rsidRPr="008B04AB">
        <w:rPr>
          <w:rFonts w:cstheme="minorHAnsi"/>
          <w:color w:val="231F20"/>
        </w:rPr>
        <w:t>Repert</w:t>
      </w:r>
      <w:proofErr w:type="spellEnd"/>
      <w:r w:rsidRPr="008B04AB">
        <w:rPr>
          <w:rFonts w:cstheme="minorHAnsi"/>
          <w:color w:val="231F20"/>
        </w:rPr>
        <w:t xml:space="preserve"> et al. (2014) illustrating how sediment and water quality data can be related to genomic data.  Top:  Correlations between biogeochemical rates, water and sediment properties, and microbial community.  Bottom: Redundancy and ordination analyses were used to illustrate the relationship between measurements.  See paper for details. </w:t>
      </w:r>
    </w:p>
    <w:p w14:paraId="14988C00" w14:textId="77777777" w:rsidR="008B04AB" w:rsidRDefault="008B04AB" w:rsidP="008B04AB">
      <w:pPr>
        <w:pStyle w:val="NoSpacing"/>
      </w:pPr>
    </w:p>
    <w:p w14:paraId="4808C536" w14:textId="77777777" w:rsidR="008A0581" w:rsidRDefault="008A0581" w:rsidP="00540CCB">
      <w:pPr>
        <w:spacing w:after="0" w:line="240" w:lineRule="auto"/>
      </w:pPr>
    </w:p>
    <w:p w14:paraId="3C348A4D" w14:textId="68BEA69D" w:rsidR="008A0581" w:rsidRPr="006F2664" w:rsidRDefault="008A0581" w:rsidP="00540CCB">
      <w:pPr>
        <w:spacing w:after="0" w:line="240" w:lineRule="auto"/>
        <w:rPr>
          <w:i/>
        </w:rPr>
      </w:pPr>
      <w:r>
        <w:t xml:space="preserve"> </w:t>
      </w:r>
    </w:p>
    <w:sectPr w:rsidR="008A0581" w:rsidRPr="006F2664" w:rsidSect="00FF0BA4">
      <w:footerReference w:type="default" r:id="rId11"/>
      <w:pgSz w:w="12240" w:h="15840"/>
      <w:pgMar w:top="1440" w:right="18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C3FC6" w14:textId="77777777" w:rsidR="00320821" w:rsidRDefault="00320821" w:rsidP="008B04AB">
      <w:pPr>
        <w:spacing w:after="0" w:line="240" w:lineRule="auto"/>
      </w:pPr>
      <w:r>
        <w:separator/>
      </w:r>
    </w:p>
  </w:endnote>
  <w:endnote w:type="continuationSeparator" w:id="0">
    <w:p w14:paraId="2215EAAF" w14:textId="77777777" w:rsidR="00320821" w:rsidRDefault="00320821" w:rsidP="008B0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5362665"/>
      <w:docPartObj>
        <w:docPartGallery w:val="Page Numbers (Bottom of Page)"/>
        <w:docPartUnique/>
      </w:docPartObj>
    </w:sdtPr>
    <w:sdtEndPr>
      <w:rPr>
        <w:noProof/>
        <w:sz w:val="18"/>
        <w:szCs w:val="18"/>
      </w:rPr>
    </w:sdtEndPr>
    <w:sdtContent>
      <w:p w14:paraId="1492EFBA" w14:textId="40F0A2CD" w:rsidR="008B04AB" w:rsidRPr="008B04AB" w:rsidRDefault="008B04AB">
        <w:pPr>
          <w:pStyle w:val="Footer"/>
          <w:jc w:val="center"/>
          <w:rPr>
            <w:sz w:val="18"/>
            <w:szCs w:val="18"/>
          </w:rPr>
        </w:pPr>
        <w:r w:rsidRPr="008B04AB">
          <w:rPr>
            <w:sz w:val="18"/>
            <w:szCs w:val="18"/>
          </w:rPr>
          <w:fldChar w:fldCharType="begin"/>
        </w:r>
        <w:r w:rsidRPr="008B04AB">
          <w:rPr>
            <w:sz w:val="18"/>
            <w:szCs w:val="18"/>
          </w:rPr>
          <w:instrText xml:space="preserve"> PAGE   \* MERGEFORMAT </w:instrText>
        </w:r>
        <w:r w:rsidRPr="008B04AB">
          <w:rPr>
            <w:sz w:val="18"/>
            <w:szCs w:val="18"/>
          </w:rPr>
          <w:fldChar w:fldCharType="separate"/>
        </w:r>
        <w:r w:rsidR="00395567">
          <w:rPr>
            <w:noProof/>
            <w:sz w:val="18"/>
            <w:szCs w:val="18"/>
          </w:rPr>
          <w:t>4</w:t>
        </w:r>
        <w:r w:rsidRPr="008B04AB">
          <w:rPr>
            <w:noProof/>
            <w:sz w:val="18"/>
            <w:szCs w:val="18"/>
          </w:rPr>
          <w:fldChar w:fldCharType="end"/>
        </w:r>
      </w:p>
    </w:sdtContent>
  </w:sdt>
  <w:p w14:paraId="2147A76D" w14:textId="77777777" w:rsidR="008B04AB" w:rsidRDefault="008B04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C25713" w14:textId="77777777" w:rsidR="00320821" w:rsidRDefault="00320821" w:rsidP="008B04AB">
      <w:pPr>
        <w:spacing w:after="0" w:line="240" w:lineRule="auto"/>
      </w:pPr>
      <w:r>
        <w:separator/>
      </w:r>
    </w:p>
  </w:footnote>
  <w:footnote w:type="continuationSeparator" w:id="0">
    <w:p w14:paraId="6F854CF3" w14:textId="77777777" w:rsidR="00320821" w:rsidRDefault="00320821" w:rsidP="008B04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946AC0"/>
    <w:multiLevelType w:val="hybridMultilevel"/>
    <w:tmpl w:val="12024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CCB"/>
    <w:rsid w:val="00013409"/>
    <w:rsid w:val="00016311"/>
    <w:rsid w:val="000239B4"/>
    <w:rsid w:val="00025317"/>
    <w:rsid w:val="00037326"/>
    <w:rsid w:val="000B0467"/>
    <w:rsid w:val="000E69CD"/>
    <w:rsid w:val="001856C6"/>
    <w:rsid w:val="001D5AAE"/>
    <w:rsid w:val="001D6845"/>
    <w:rsid w:val="002A053E"/>
    <w:rsid w:val="002B7923"/>
    <w:rsid w:val="00320821"/>
    <w:rsid w:val="00343BB6"/>
    <w:rsid w:val="00395567"/>
    <w:rsid w:val="003A6FE7"/>
    <w:rsid w:val="0046506D"/>
    <w:rsid w:val="004B3A25"/>
    <w:rsid w:val="004C7F32"/>
    <w:rsid w:val="005170B9"/>
    <w:rsid w:val="00540CCB"/>
    <w:rsid w:val="006F2664"/>
    <w:rsid w:val="007A575B"/>
    <w:rsid w:val="00810C7A"/>
    <w:rsid w:val="008A0581"/>
    <w:rsid w:val="008B04AB"/>
    <w:rsid w:val="008C6E1B"/>
    <w:rsid w:val="00955033"/>
    <w:rsid w:val="00992722"/>
    <w:rsid w:val="009E6BCC"/>
    <w:rsid w:val="00A009D5"/>
    <w:rsid w:val="00A96F29"/>
    <w:rsid w:val="00B04ABA"/>
    <w:rsid w:val="00B71FDC"/>
    <w:rsid w:val="00BD0499"/>
    <w:rsid w:val="00C9709F"/>
    <w:rsid w:val="00D74606"/>
    <w:rsid w:val="00E41467"/>
    <w:rsid w:val="00E7000A"/>
    <w:rsid w:val="00F35456"/>
    <w:rsid w:val="00F7594D"/>
    <w:rsid w:val="00FB609A"/>
    <w:rsid w:val="00FF0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539EC"/>
  <w15:chartTrackingRefBased/>
  <w15:docId w15:val="{ECED307E-AD2E-4AB2-8262-D13F14A1F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CCB"/>
    <w:pPr>
      <w:ind w:left="720"/>
      <w:contextualSpacing/>
    </w:pPr>
  </w:style>
  <w:style w:type="character" w:styleId="CommentReference">
    <w:name w:val="annotation reference"/>
    <w:basedOn w:val="DefaultParagraphFont"/>
    <w:uiPriority w:val="99"/>
    <w:semiHidden/>
    <w:unhideWhenUsed/>
    <w:rsid w:val="001856C6"/>
    <w:rPr>
      <w:sz w:val="16"/>
      <w:szCs w:val="16"/>
    </w:rPr>
  </w:style>
  <w:style w:type="paragraph" w:styleId="CommentText">
    <w:name w:val="annotation text"/>
    <w:basedOn w:val="Normal"/>
    <w:link w:val="CommentTextChar"/>
    <w:uiPriority w:val="99"/>
    <w:semiHidden/>
    <w:unhideWhenUsed/>
    <w:rsid w:val="001856C6"/>
    <w:pPr>
      <w:spacing w:line="240" w:lineRule="auto"/>
    </w:pPr>
    <w:rPr>
      <w:sz w:val="20"/>
      <w:szCs w:val="20"/>
    </w:rPr>
  </w:style>
  <w:style w:type="character" w:customStyle="1" w:styleId="CommentTextChar">
    <w:name w:val="Comment Text Char"/>
    <w:basedOn w:val="DefaultParagraphFont"/>
    <w:link w:val="CommentText"/>
    <w:uiPriority w:val="99"/>
    <w:semiHidden/>
    <w:rsid w:val="001856C6"/>
    <w:rPr>
      <w:sz w:val="20"/>
      <w:szCs w:val="20"/>
    </w:rPr>
  </w:style>
  <w:style w:type="paragraph" w:styleId="CommentSubject">
    <w:name w:val="annotation subject"/>
    <w:basedOn w:val="CommentText"/>
    <w:next w:val="CommentText"/>
    <w:link w:val="CommentSubjectChar"/>
    <w:uiPriority w:val="99"/>
    <w:semiHidden/>
    <w:unhideWhenUsed/>
    <w:rsid w:val="001856C6"/>
    <w:rPr>
      <w:b/>
      <w:bCs/>
    </w:rPr>
  </w:style>
  <w:style w:type="character" w:customStyle="1" w:styleId="CommentSubjectChar">
    <w:name w:val="Comment Subject Char"/>
    <w:basedOn w:val="CommentTextChar"/>
    <w:link w:val="CommentSubject"/>
    <w:uiPriority w:val="99"/>
    <w:semiHidden/>
    <w:rsid w:val="001856C6"/>
    <w:rPr>
      <w:b/>
      <w:bCs/>
      <w:sz w:val="20"/>
      <w:szCs w:val="20"/>
    </w:rPr>
  </w:style>
  <w:style w:type="paragraph" w:styleId="BalloonText">
    <w:name w:val="Balloon Text"/>
    <w:basedOn w:val="Normal"/>
    <w:link w:val="BalloonTextChar"/>
    <w:uiPriority w:val="99"/>
    <w:semiHidden/>
    <w:unhideWhenUsed/>
    <w:rsid w:val="001856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56C6"/>
    <w:rPr>
      <w:rFonts w:ascii="Segoe UI" w:hAnsi="Segoe UI" w:cs="Segoe UI"/>
      <w:sz w:val="18"/>
      <w:szCs w:val="18"/>
    </w:rPr>
  </w:style>
  <w:style w:type="paragraph" w:styleId="Title">
    <w:name w:val="Title"/>
    <w:basedOn w:val="Normal"/>
    <w:link w:val="TitleChar"/>
    <w:qFormat/>
    <w:rsid w:val="001D6845"/>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1D6845"/>
    <w:rPr>
      <w:rFonts w:ascii="Times New Roman" w:eastAsia="Times New Roman" w:hAnsi="Times New Roman" w:cs="Times New Roman"/>
      <w:b/>
      <w:bCs/>
      <w:sz w:val="24"/>
      <w:szCs w:val="24"/>
    </w:rPr>
  </w:style>
  <w:style w:type="character" w:styleId="Emphasis">
    <w:name w:val="Emphasis"/>
    <w:basedOn w:val="DefaultParagraphFont"/>
    <w:uiPriority w:val="20"/>
    <w:qFormat/>
    <w:rsid w:val="00E7000A"/>
    <w:rPr>
      <w:i/>
      <w:iCs/>
    </w:rPr>
  </w:style>
  <w:style w:type="paragraph" w:styleId="NoSpacing">
    <w:name w:val="No Spacing"/>
    <w:uiPriority w:val="1"/>
    <w:qFormat/>
    <w:rsid w:val="008B04AB"/>
    <w:pPr>
      <w:spacing w:after="0" w:line="240" w:lineRule="auto"/>
    </w:pPr>
  </w:style>
  <w:style w:type="paragraph" w:styleId="Header">
    <w:name w:val="header"/>
    <w:basedOn w:val="Normal"/>
    <w:link w:val="HeaderChar"/>
    <w:uiPriority w:val="99"/>
    <w:unhideWhenUsed/>
    <w:rsid w:val="008B04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4AB"/>
  </w:style>
  <w:style w:type="paragraph" w:styleId="Footer">
    <w:name w:val="footer"/>
    <w:basedOn w:val="Normal"/>
    <w:link w:val="FooterChar"/>
    <w:uiPriority w:val="99"/>
    <w:unhideWhenUsed/>
    <w:rsid w:val="008B04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2343E-6726-43D0-BE90-C1D957EBA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Kraus, Tamara</dc:creator>
  <cp:keywords/>
  <dc:description/>
  <cp:lastModifiedBy>Saleh, Dina</cp:lastModifiedBy>
  <cp:revision>5</cp:revision>
  <dcterms:created xsi:type="dcterms:W3CDTF">2018-07-20T00:34:00Z</dcterms:created>
  <dcterms:modified xsi:type="dcterms:W3CDTF">2019-04-30T20:13:00Z</dcterms:modified>
</cp:coreProperties>
</file>