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Kiwi Community Trust — Mission Statement</w:t>
      </w:r>
    </w:p>
    <w:p>
      <w:r>
        <w:t>Our mission is to bridge the digital divide in Aotearoa New Zealand by providing accessible, culturally responsive technology education and connectivity solutions to underserved communities.</w:t>
      </w:r>
    </w:p>
    <w:p>
      <w:pPr>
        <w:pStyle w:val="Heading1"/>
      </w:pPr>
      <w:r>
        <w:t>Vision</w:t>
      </w:r>
    </w:p>
    <w:p>
      <w:r>
        <w:t>A digitally inclusive Aotearoa where every person, regardless of age, location, or background, can participate fully in the digital world.</w:t>
      </w:r>
    </w:p>
    <w:p>
      <w:pPr>
        <w:pStyle w:val="Heading1"/>
      </w:pPr>
      <w:r>
        <w:t>Values</w:t>
      </w:r>
    </w:p>
    <w:p>
      <w:pPr>
        <w:pStyle w:val="ListBullet"/>
      </w:pPr>
      <w:r>
        <w:t>Manaakitanga — We care for our communities with kindness and respect</w:t>
      </w:r>
    </w:p>
    <w:p>
      <w:pPr>
        <w:pStyle w:val="ListBullet"/>
      </w:pPr>
      <w:r>
        <w:t>Kotahitanga — We work together as one</w:t>
      </w:r>
    </w:p>
    <w:p>
      <w:pPr>
        <w:pStyle w:val="ListBullet"/>
      </w:pPr>
      <w:r>
        <w:t>Kaitiakitanga — We are stewards of our resources and knowledge</w:t>
      </w:r>
    </w:p>
    <w:p>
      <w:pPr>
        <w:pStyle w:val="ListBullet"/>
      </w:pPr>
      <w:r>
        <w:t>Equity — We prioritise those with the greatest need</w:t>
      </w:r>
    </w:p>
    <w:p>
      <w:pPr>
        <w:pStyle w:val="ListBullet"/>
      </w:pPr>
      <w:r>
        <w:t>Innovation — We embrace new approaches to old challenges</w:t>
      </w:r>
    </w:p>
    <w:p>
      <w:pPr>
        <w:pStyle w:val="Heading1"/>
      </w:pPr>
      <w:r>
        <w:t>Strategic Goals 2025-2028</w:t>
      </w:r>
    </w:p>
    <w:p>
      <w:pPr>
        <w:pStyle w:val="ListNumber"/>
      </w:pPr>
      <w:r>
        <w:t>Reach 10,000 participants annually by 2028</w:t>
      </w:r>
    </w:p>
    <w:p>
      <w:pPr>
        <w:pStyle w:val="ListNumber"/>
      </w:pPr>
      <w:r>
        <w:t>Establish presence in all 16 regions of NZ</w:t>
      </w:r>
    </w:p>
    <w:p>
      <w:pPr>
        <w:pStyle w:val="ListNumber"/>
      </w:pPr>
      <w:r>
        <w:t>Develop bilingual (English/te reo Māori) digital curriculum</w:t>
      </w:r>
    </w:p>
    <w:p>
      <w:pPr>
        <w:pStyle w:val="ListNumber"/>
      </w:pPr>
      <w:r>
        <w:t>Achieve Tier 2 charitable status and $2M annual revenue</w:t>
      </w:r>
    </w:p>
    <w:p>
      <w:pPr>
        <w:pStyle w:val="ListNumber"/>
      </w:pPr>
      <w:r>
        <w:t>Launch social enterprise arm for sustainable income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