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409"/>
        <w:gridCol w:w="4741"/>
      </w:tblGrid>
      <w:tr w:rsidR="000871E7" w14:paraId="266EB0B2" w14:textId="77777777" w:rsidTr="00D06DCE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70B337C0" w14:textId="179794B2" w:rsidR="000871E7" w:rsidRDefault="00832A42" w:rsidP="00CA1A30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Word Embeddings</w:t>
            </w:r>
          </w:p>
        </w:tc>
      </w:tr>
      <w:tr w:rsidR="000871E7" w:rsidRPr="0068537F" w14:paraId="270E784C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7F7D5E86" w14:textId="77777777" w:rsidR="000871E7" w:rsidRPr="0068537F" w:rsidRDefault="000871E7" w:rsidP="00CA1A30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07A02DEC" w14:textId="28003F7A" w:rsidR="000871E7" w:rsidRPr="0068537F" w:rsidRDefault="000871E7" w:rsidP="00CA1A3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1FB5C81A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746A24BD" w14:textId="726571F2" w:rsidR="00832A42" w:rsidRPr="00832A42" w:rsidRDefault="00832A42" w:rsidP="00CA1A3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o</w:t>
            </w:r>
            <w:r w:rsidRPr="00832A42">
              <w:rPr>
                <w:color w:val="595959" w:themeColor="text1" w:themeTint="A6"/>
              </w:rPr>
              <w:t>utline the concept of representation learning and its importance in deep learning</w:t>
            </w:r>
          </w:p>
          <w:p w14:paraId="5AFC64D9" w14:textId="7F9BD13F" w:rsidR="000871E7" w:rsidRPr="00CA1A30" w:rsidRDefault="00832A42" w:rsidP="00CA1A3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i</w:t>
            </w:r>
            <w:r w:rsidRPr="00832A42">
              <w:rPr>
                <w:color w:val="595959" w:themeColor="text1" w:themeTint="A6"/>
              </w:rPr>
              <w:t>mplement and apply word embeddings for natural language processing tasks</w:t>
            </w:r>
          </w:p>
        </w:tc>
      </w:tr>
      <w:tr w:rsidR="000871E7" w14:paraId="6B55B2F3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1BCA5D2C" w14:textId="22AAA0D4" w:rsidR="000871E7" w:rsidRPr="00C147DC" w:rsidRDefault="00BA4EB5" w:rsidP="00CA1A30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3D651EA7" w14:textId="06E8B1F9" w:rsidR="000871E7" w:rsidRPr="00C147DC" w:rsidRDefault="000871E7" w:rsidP="00CA1A30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74A68A0B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A4AC716" w14:textId="0583BF05" w:rsidR="000871E7" w:rsidRPr="00AB7E16" w:rsidRDefault="00BA4EB5" w:rsidP="00CA1A30">
            <w:pPr>
              <w:spacing w:line="360" w:lineRule="auto"/>
              <w:rPr>
                <w:color w:val="80340D" w:themeColor="accent2" w:themeShade="80"/>
              </w:rPr>
            </w:pPr>
            <w:r w:rsidRPr="00BA4EB5">
              <w:rPr>
                <w:color w:val="80340D" w:themeColor="accent2" w:themeShade="80"/>
              </w:rPr>
              <w:t>Text Representations and Distance Functions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1C4836A" w14:textId="555EDBDD" w:rsidR="000871E7" w:rsidRDefault="001668AD" w:rsidP="00CA1A3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bag of words</w:t>
            </w:r>
          </w:p>
          <w:p w14:paraId="265C90B4" w14:textId="6B4D5F62" w:rsidR="001668AD" w:rsidRDefault="001668AD" w:rsidP="00CA1A3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represents text as a vector of counts of vocabulary words or binary values</w:t>
            </w:r>
          </w:p>
          <w:p w14:paraId="712AA0BC" w14:textId="77777777" w:rsidR="00945CD4" w:rsidRPr="00945CD4" w:rsidRDefault="00945CD4" w:rsidP="00CA1A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AF24CFA" w14:textId="2A7D0D2D" w:rsidR="000871E7" w:rsidRPr="00945CD4" w:rsidRDefault="00412130" w:rsidP="00CA1A3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45CD4">
              <w:rPr>
                <w:color w:val="A02B93" w:themeColor="accent5"/>
              </w:rPr>
              <w:t>effective text representation models</w:t>
            </w:r>
          </w:p>
          <w:p w14:paraId="3AEC5739" w14:textId="422DB80A" w:rsidR="00412130" w:rsidRPr="00945CD4" w:rsidRDefault="00412130" w:rsidP="00CA1A3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45CD4">
              <w:rPr>
                <w:color w:val="A02B93" w:themeColor="accent5"/>
              </w:rPr>
              <w:t>leads to good task performance</w:t>
            </w:r>
          </w:p>
          <w:p w14:paraId="0E03EF3F" w14:textId="3EF35097" w:rsidR="00412130" w:rsidRPr="00945CD4" w:rsidRDefault="00412130" w:rsidP="00CA1A3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45CD4">
              <w:rPr>
                <w:color w:val="A02B93" w:themeColor="accent5"/>
              </w:rPr>
              <w:t xml:space="preserve">results in semantically similar texts having similar </w:t>
            </w:r>
            <w:r w:rsidR="00945CD4" w:rsidRPr="00945CD4">
              <w:rPr>
                <w:color w:val="A02B93" w:themeColor="accent5"/>
              </w:rPr>
              <w:t>representations</w:t>
            </w:r>
          </w:p>
          <w:p w14:paraId="7788FFA1" w14:textId="25C8DE88" w:rsidR="00945CD4" w:rsidRPr="00945CD4" w:rsidRDefault="00945CD4" w:rsidP="00CA1A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FE17097" w14:textId="1BA0EFB7" w:rsidR="00945CD4" w:rsidRDefault="000038B1" w:rsidP="00CA1A3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distance functions</w:t>
            </w:r>
          </w:p>
          <w:p w14:paraId="425559D8" w14:textId="12994DA6" w:rsidR="000038B1" w:rsidRDefault="000038B1" w:rsidP="00CA1A3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Euclidian Distance</w:t>
            </w:r>
          </w:p>
          <w:p w14:paraId="70F5A01B" w14:textId="2F57A5D5" w:rsidR="000038B1" w:rsidRPr="000038B1" w:rsidRDefault="000038B1" w:rsidP="00CA1A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for a,b∈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color w:val="A02B93" w:themeColor="accent5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</m:sup>
                </m:sSup>
                <m:r>
                  <w:rPr>
                    <w:rFonts w:ascii="Cambria Math" w:hAnsi="Cambria Math"/>
                    <w:color w:val="A02B93" w:themeColor="accent5"/>
                  </w:rPr>
                  <m:t xml:space="preserve">      d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a,b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i=2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d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  <w:p w14:paraId="5A7A6AED" w14:textId="2564E2C9" w:rsidR="000871E7" w:rsidRPr="00762699" w:rsidRDefault="000871E7" w:rsidP="00CA1A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311F420" w14:textId="77777777" w:rsidR="00762699" w:rsidRDefault="00762699" w:rsidP="00CA1A3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Cosine Similarity</w:t>
            </w:r>
          </w:p>
          <w:p w14:paraId="625F81D5" w14:textId="77777777" w:rsidR="00AE1298" w:rsidRPr="00AE1298" w:rsidRDefault="00AE1298" w:rsidP="00CA1A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for a,b∈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  <w:color w:val="A02B93" w:themeColor="accent5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d</m:t>
                    </m:r>
                  </m:sup>
                </m:sSup>
                <m:r>
                  <w:rPr>
                    <w:rFonts w:ascii="Cambria Math" w:hAnsi="Cambria Math"/>
                    <w:color w:val="A02B93" w:themeColor="accent5"/>
                  </w:rPr>
                  <m:t xml:space="preserve">     sim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a,b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02B93" w:themeColor="accent5"/>
                      </w:rPr>
                      <m:t>a.b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a</m:t>
                            </m:r>
                          </m:e>
                        </m:d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b</m:t>
                            </m:r>
                          </m:e>
                        </m:d>
                      </m:e>
                    </m:d>
                  </m:den>
                </m:f>
                <m:r>
                  <w:rPr>
                    <w:rFonts w:ascii="Cambria Math" w:hAnsi="Cambria Math"/>
                    <w:color w:val="A02B93" w:themeColor="accent5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a</m:t>
                    </m:r>
                  </m:e>
                </m:func>
              </m:oMath>
            </m:oMathPara>
          </w:p>
          <w:p w14:paraId="735CDEBF" w14:textId="77777777" w:rsidR="00AE1298" w:rsidRPr="00AE1298" w:rsidRDefault="00AE1298" w:rsidP="00CA1A30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small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α</m:t>
              </m:r>
            </m:oMath>
            <w:r>
              <w:rPr>
                <w:rFonts w:eastAsiaTheme="minorEastAsia"/>
                <w:color w:val="A02B93" w:themeColor="accent5"/>
              </w:rPr>
              <w:t>: high similarity</w:t>
            </w:r>
          </w:p>
          <w:p w14:paraId="3DA344C6" w14:textId="56CE635B" w:rsidR="00AE1298" w:rsidRDefault="00AE1298" w:rsidP="00CA1A30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-1: </w:t>
            </w:r>
            <w:r w:rsidR="00CA1A30">
              <w:rPr>
                <w:color w:val="A02B93" w:themeColor="accent5"/>
              </w:rPr>
              <w:t>opposing direction</w:t>
            </w:r>
          </w:p>
          <w:p w14:paraId="4A2A6441" w14:textId="77777777" w:rsidR="00CA1A30" w:rsidRDefault="00CA1A30" w:rsidP="00CA1A30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+1: same direction</w:t>
            </w:r>
          </w:p>
          <w:p w14:paraId="1C7FFA00" w14:textId="0517B309" w:rsidR="00CA1A30" w:rsidRPr="00CA1A30" w:rsidRDefault="00CA1A30" w:rsidP="00CA1A30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0: orthogonal vectors</w:t>
            </w:r>
          </w:p>
        </w:tc>
      </w:tr>
      <w:tr w:rsidR="000871E7" w14:paraId="1C21607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EF447AA" w14:textId="77777777" w:rsidR="00BF33D0" w:rsidRDefault="00BF33D0" w:rsidP="00CA1A30">
            <w:pPr>
              <w:spacing w:line="360" w:lineRule="auto"/>
              <w:rPr>
                <w:b w:val="0"/>
                <w:bCs w:val="0"/>
                <w:color w:val="80340D" w:themeColor="accent2" w:themeShade="80"/>
              </w:rPr>
            </w:pPr>
            <w:r w:rsidRPr="00BF33D0">
              <w:rPr>
                <w:color w:val="80340D" w:themeColor="accent2" w:themeShade="80"/>
              </w:rPr>
              <w:lastRenderedPageBreak/>
              <w:t>Word Embeddings/</w:t>
            </w:r>
          </w:p>
          <w:p w14:paraId="340AC31B" w14:textId="3647E3A0" w:rsidR="000871E7" w:rsidRPr="00C71A4B" w:rsidRDefault="00BF33D0" w:rsidP="00CA1A30">
            <w:pPr>
              <w:spacing w:line="360" w:lineRule="auto"/>
              <w:rPr>
                <w:color w:val="80340D" w:themeColor="accent2" w:themeShade="80"/>
              </w:rPr>
            </w:pPr>
            <w:r w:rsidRPr="00BF33D0">
              <w:rPr>
                <w:color w:val="80340D" w:themeColor="accent2" w:themeShade="80"/>
              </w:rPr>
              <w:t>Word2vec</w:t>
            </w:r>
          </w:p>
        </w:tc>
        <w:tc>
          <w:tcPr>
            <w:tcW w:w="7416" w:type="dxa"/>
            <w:gridSpan w:val="4"/>
          </w:tcPr>
          <w:p w14:paraId="1BEBA712" w14:textId="046575C4" w:rsidR="000871E7" w:rsidRPr="00CA1A30" w:rsidRDefault="00BF33D0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map each word to a vector in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color w:val="A02B93" w:themeColor="accent5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A02B93" w:themeColor="accent5"/>
                    </w:rPr>
                    <m:t>d</m:t>
                  </m:r>
                </m:sup>
              </m:sSup>
            </m:oMath>
            <w:r>
              <w:rPr>
                <w:rFonts w:eastAsiaTheme="minorEastAsia"/>
                <w:color w:val="A02B93" w:themeColor="accent5"/>
              </w:rPr>
              <w:t xml:space="preserve"> such that similar words also have similar word vectors </w:t>
            </w:r>
          </w:p>
          <w:p w14:paraId="3AD518B3" w14:textId="57670EA3" w:rsidR="000871E7" w:rsidRPr="000A69EC" w:rsidRDefault="000A69EC" w:rsidP="000A69EC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this is used heavily in polymath applications such as OraCode </w:t>
            </w:r>
          </w:p>
        </w:tc>
      </w:tr>
      <w:tr w:rsidR="00CA1A30" w14:paraId="591D73A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C14855D" w14:textId="15E1EDF3" w:rsidR="00CA1A30" w:rsidRDefault="00E259F3" w:rsidP="00CA1A30">
            <w:pPr>
              <w:spacing w:line="360" w:lineRule="auto"/>
              <w:rPr>
                <w:color w:val="80340D" w:themeColor="accent2" w:themeShade="80"/>
              </w:rPr>
            </w:pPr>
            <w:r w:rsidRPr="00E259F3">
              <w:rPr>
                <w:color w:val="80340D" w:themeColor="accent2" w:themeShade="80"/>
              </w:rPr>
              <w:t>Skip-Gram Model</w:t>
            </w:r>
          </w:p>
        </w:tc>
        <w:tc>
          <w:tcPr>
            <w:tcW w:w="7416" w:type="dxa"/>
            <w:gridSpan w:val="4"/>
          </w:tcPr>
          <w:p w14:paraId="72BC9264" w14:textId="77777777" w:rsidR="00CA1A30" w:rsidRDefault="002511F6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given a word, predict its neighboring words within a window</w:t>
            </w:r>
          </w:p>
          <w:p w14:paraId="45BCFEF4" w14:textId="77777777" w:rsidR="002511F6" w:rsidRDefault="002511F6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example: is the word ‘brown’ likely to fall in the context window with ‘fox’</w:t>
            </w:r>
          </w:p>
          <w:p w14:paraId="49F4DB61" w14:textId="77777777" w:rsidR="002511F6" w:rsidRPr="00713741" w:rsidRDefault="006F56E7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objective to maximize: likelihood is product of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P(context|word)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looping over all words in training data and their context words within a window of m</w:t>
            </w:r>
          </w:p>
          <w:p w14:paraId="318C5F8D" w14:textId="1C90C93C" w:rsidR="00713741" w:rsidRPr="00713741" w:rsidRDefault="00BB3FAA" w:rsidP="0071374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  <w:color w:val="A02B93" w:themeColor="accent5"/>
                  </w:rPr>
                  <m:t>L</m:t>
                </m:r>
                <m:r>
                  <w:rPr>
                    <w:rFonts w:ascii="Cambria Math" w:hAnsi="Cambria Math"/>
                    <w:color w:val="A02B93" w:themeColor="accent5"/>
                  </w:rPr>
                  <m:t>(</m:t>
                </m:r>
                <m:r>
                  <w:rPr>
                    <w:rFonts w:ascii="Cambria Math" w:hAnsi="Cambria Math"/>
                    <w:color w:val="A02B93" w:themeColor="accent5"/>
                  </w:rPr>
                  <m:t>θ</m:t>
                </m:r>
                <m:r>
                  <w:rPr>
                    <w:rFonts w:ascii="Cambria Math" w:hAnsi="Cambria Math"/>
                    <w:color w:val="A02B93" w:themeColor="accent5"/>
                  </w:rPr>
                  <m:t xml:space="preserve">) = </m:t>
                </m:r>
                <m:nary>
                  <m:naryPr>
                    <m:chr m:val="∏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  <m:e>
                    <m:nary>
                      <m:naryPr>
                        <m:chr m:val="∏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naryPr>
                      <m:sub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-m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m;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≠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0</m:t>
                            </m:r>
                          </m:e>
                        </m:eqArr>
                      </m:sub>
                      <m:sup/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P</m:t>
                        </m:r>
                        <m:d>
                          <m:dPr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t+j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 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 xml:space="preserve"> ; 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θ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)</m:t>
                        </m:r>
                      </m:e>
                    </m:nary>
                  </m:e>
                </m:nary>
                <m:r>
                  <w:rPr>
                    <w:rFonts w:ascii="Cambria Math" w:hAnsi="Cambria Math"/>
                    <w:color w:val="A02B93" w:themeColor="accent5"/>
                  </w:rPr>
                  <m:t xml:space="preserve">  </m:t>
                </m:r>
              </m:oMath>
            </m:oMathPara>
          </w:p>
          <w:p w14:paraId="3707F44F" w14:textId="7ECE49C2" w:rsidR="0068262A" w:rsidRPr="0068262A" w:rsidRDefault="0068262A" w:rsidP="0068262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60E741" w14:textId="65ADEAA8" w:rsidR="00713741" w:rsidRPr="006F56E7" w:rsidRDefault="00713741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we will maximize the log </w:t>
            </w:r>
            <w:r w:rsidR="00BB3FAA">
              <w:rPr>
                <w:color w:val="A02B93" w:themeColor="accent5"/>
              </w:rPr>
              <w:t>likelihood</w:t>
            </w:r>
          </w:p>
          <w:p w14:paraId="399732BC" w14:textId="4C1A5183" w:rsidR="006F56E7" w:rsidRPr="004D6134" w:rsidRDefault="0068262A" w:rsidP="00BC05D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A02B93" w:themeColor="accent5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θ</m:t>
                    </m: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naryPr>
                      <m:sub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-m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m;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≠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0</m:t>
                            </m:r>
                          </m:e>
                        </m:eqArr>
                      </m:sub>
                      <m:sup/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log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fName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P</m:t>
                            </m:r>
                            <m:d>
                              <m:dPr>
                                <m:endChr m:val="|"/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t+j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 xml:space="preserve"> </m:t>
                                </m:r>
                              </m:e>
                            </m:d>
                          </m:e>
                        </m:func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 xml:space="preserve"> ; 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θ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)</m:t>
                        </m:r>
                      </m:e>
                    </m:nary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naryPr>
                      <m:sub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-m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m;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≠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0</m:t>
                            </m:r>
                          </m:e>
                        </m:eqArr>
                      </m:sub>
                      <m:sup/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log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exp</m:t>
                                        </m:r>
                                      </m:fName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A02B93" w:themeColor="accent5"/>
                                              </w:rPr>
                                            </m:ctrlPr>
                                          </m:dPr>
                                          <m:e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A02B93" w:themeColor="accent5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u</m:t>
                                                </m:r>
                                              </m:e>
                                              <m:sub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color w:val="A02B93" w:themeColor="accent5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A02B93" w:themeColor="accent5"/>
                                                      </w:rPr>
                                                      <m:t>w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A02B93" w:themeColor="accent5"/>
                                                      </w:rPr>
                                                      <m:t>t</m:t>
                                                    </m:r>
                                                  </m:sub>
                                                </m:sSub>
                                              </m:sub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T</m:t>
                                                </m:r>
                                              </m:sup>
                                            </m:sSubSup>
                                            <m:r>
                                              <w:rPr>
                                                <w:rFonts w:ascii="Cambria Math" w:hAnsi="Cambria Math"/>
                                                <w:color w:val="A02B93" w:themeColor="accent5"/>
                                              </w:rPr>
                                              <m:t xml:space="preserve"> 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A02B93" w:themeColor="accent5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color w:val="A02B93" w:themeColor="accent5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A02B93" w:themeColor="accent5"/>
                                                      </w:rPr>
                                                      <m:t>w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A02B93" w:themeColor="accent5"/>
                                                      </w:rPr>
                                                      <m:t>t+j</m:t>
                                                    </m:r>
                                                  </m:sub>
                                                </m:sSub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</m:func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sup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w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∈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V</m:t>
                                        </m:r>
                                      </m:sub>
                                      <m:sup/>
                                      <m:e>
                                        <m:func>
                                          <m:funcPr>
                                            <m:ctrlPr>
                                              <w:rPr>
                                                <w:rFonts w:ascii="Cambria Math" w:hAnsi="Cambria Math"/>
                                                <w:color w:val="A02B93" w:themeColor="accent5"/>
                                              </w:rPr>
                                            </m:ctrlPr>
                                          </m:funcPr>
                                          <m:fNam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A02B93" w:themeColor="accent5"/>
                                              </w:rPr>
                                              <m:t>exp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A02B93" w:themeColor="accent5"/>
                                              </w:rPr>
                                            </m:ctrlPr>
                                          </m:fName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A02B93" w:themeColor="accent5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Sup>
                                                  <m:sSubSup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color w:val="A02B93" w:themeColor="accent5"/>
                                                      </w:rPr>
                                                    </m:ctrlPr>
                                                  </m:sSubSup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A02B93" w:themeColor="accent5"/>
                                                      </w:rPr>
                                                      <m:t>u</m:t>
                                                    </m:r>
                                                  </m:e>
                                                  <m: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color w:val="A02B93" w:themeColor="accent5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A02B93" w:themeColor="accent5"/>
                                                          </w:rPr>
                                                          <m:t>w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A02B93" w:themeColor="accent5"/>
                                                          </w:rPr>
                                                          <m:t>t</m:t>
                                                        </m:r>
                                                      </m:sub>
                                                    </m:sSub>
                                                  </m:sub>
                                                  <m:sup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A02B93" w:themeColor="accent5"/>
                                                      </w:rPr>
                                                      <m:t>T</m:t>
                                                    </m:r>
                                                  </m:sup>
                                                </m:sSub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A02B93" w:themeColor="accent5"/>
                                                  </w:rPr>
                                                  <m:t xml:space="preserve"> 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color w:val="A02B93" w:themeColor="accent5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A02B93" w:themeColor="accent5"/>
                                                      </w:rPr>
                                                      <m:t>v</m:t>
                                                    </m:r>
                                                  </m:e>
                                                  <m:sub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color w:val="A02B93" w:themeColor="accent5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A02B93" w:themeColor="accent5"/>
                                                          </w:rPr>
                                                          <m:t>w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A02B93" w:themeColor="accent5"/>
                                                          </w:rPr>
                                                          <m:t>t+j</m:t>
                                                        </m:r>
                                                      </m:sub>
                                                    </m:sSub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</m:func>
                                      </m:e>
                                    </m:nary>
                                  </m:den>
                                </m:f>
                              </m:e>
                            </m:d>
                          </m:e>
                        </m:func>
                      </m:e>
                    </m:nary>
                  </m:e>
                </m:nary>
                <m:r>
                  <w:rPr>
                    <w:rFonts w:ascii="Cambria Math" w:hAnsi="Cambria Math"/>
                    <w:color w:val="A02B93" w:themeColor="accent5"/>
                  </w:rPr>
                  <m:t xml:space="preserve"> </m:t>
                </m:r>
              </m:oMath>
            </m:oMathPara>
          </w:p>
          <w:p w14:paraId="30C2B6D4" w14:textId="77777777" w:rsidR="00BB3FAA" w:rsidRPr="00BC05DD" w:rsidRDefault="00BC05DD" w:rsidP="00BC05D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 xml:space="preserve">= 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/>
                        <w:color w:val="A02B93" w:themeColor="accent5"/>
                      </w:rPr>
                      <m:t>T</m:t>
                    </m:r>
                  </m:sup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naryPr>
                      <m:sub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-m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≤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m;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 xml:space="preserve">j 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≠</m:t>
                            </m:r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0</m:t>
                            </m:r>
                          </m:e>
                        </m:eqArr>
                      </m:sub>
                      <m:sup/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u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t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T</m:t>
                            </m:r>
                          </m:sup>
                        </m:sSub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v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t+j</m:t>
                                </m:r>
                              </m:sub>
                            </m:sSub>
                          </m:sub>
                        </m:sSub>
                      </m:e>
                    </m:nary>
                  </m:e>
                </m:nary>
                <m:r>
                  <w:rPr>
                    <w:rFonts w:ascii="Cambria Math" w:hAnsi="Cambria Math"/>
                    <w:color w:val="A02B93" w:themeColor="accent5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log</m:t>
                    </m: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fName>
                  <m:e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w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∈</m:t>
                        </m:r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V</m:t>
                        </m:r>
                      </m:sub>
                      <m:sup/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exp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u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T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A02B93" w:themeColor="accent5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A02B93" w:themeColor="accent5"/>
                                      </w:rPr>
                                      <m:t>v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A02B93" w:themeColor="accent5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w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A02B93" w:themeColor="accent5"/>
                                          </w:rPr>
                                          <m:t>t+j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d>
                          </m:e>
                        </m:func>
                      </m:e>
                    </m:nary>
                  </m:e>
                </m:func>
              </m:oMath>
            </m:oMathPara>
          </w:p>
          <w:p w14:paraId="02A33525" w14:textId="77777777" w:rsidR="00BC05DD" w:rsidRDefault="004D6134" w:rsidP="004D6134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gradient descent would be inefficient here, so</w:t>
            </w:r>
            <w:r w:rsidR="004D74F2">
              <w:rPr>
                <w:color w:val="A02B93" w:themeColor="accent5"/>
              </w:rPr>
              <w:t>:</w:t>
            </w:r>
          </w:p>
          <w:p w14:paraId="50E53296" w14:textId="11E5258A" w:rsidR="004D74F2" w:rsidRDefault="004D74F2" w:rsidP="004D74F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set up task binary classification (positive and negative)</w:t>
            </w:r>
          </w:p>
          <w:p w14:paraId="54F1CA81" w14:textId="72285195" w:rsidR="004D74F2" w:rsidRDefault="004D74F2" w:rsidP="004D74F2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is ‘brown’ likely to appear with ‘fox’?</w:t>
            </w:r>
          </w:p>
          <w:p w14:paraId="407DA9FB" w14:textId="5633F041" w:rsidR="004D74F2" w:rsidRDefault="004D74F2" w:rsidP="004D74F2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is ‘</w:t>
            </w:r>
            <w:r w:rsidR="00405326">
              <w:rPr>
                <w:color w:val="A02B93" w:themeColor="accent5"/>
              </w:rPr>
              <w:t>computer’</w:t>
            </w:r>
            <w:r w:rsidR="00405326">
              <w:rPr>
                <w:color w:val="A02B93" w:themeColor="accent5"/>
              </w:rPr>
              <w:t xml:space="preserve"> </w:t>
            </w:r>
            <w:r>
              <w:rPr>
                <w:color w:val="A02B93" w:themeColor="accent5"/>
              </w:rPr>
              <w:t>likely to appear with ‘</w:t>
            </w:r>
            <w:r w:rsidR="00405326">
              <w:rPr>
                <w:color w:val="A02B93" w:themeColor="accent5"/>
              </w:rPr>
              <w:t>fox’</w:t>
            </w:r>
            <w:r>
              <w:rPr>
                <w:color w:val="A02B93" w:themeColor="accent5"/>
              </w:rPr>
              <w:t>?</w:t>
            </w:r>
          </w:p>
          <w:p w14:paraId="3E5620C6" w14:textId="77777777" w:rsidR="004D74F2" w:rsidRDefault="004D74F2" w:rsidP="004D74F2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construct example pairs</w:t>
            </w:r>
          </w:p>
          <w:p w14:paraId="301672C3" w14:textId="77777777" w:rsidR="004D74F2" w:rsidRDefault="004D74F2" w:rsidP="004D74F2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consider a large text source</w:t>
            </w:r>
            <w:r w:rsidR="00313EEE">
              <w:rPr>
                <w:color w:val="A02B93" w:themeColor="accent5"/>
              </w:rPr>
              <w:t xml:space="preserve"> – like Wikipedia - and set up positive examples by pairing target words</w:t>
            </w:r>
          </w:p>
          <w:p w14:paraId="2B02C8EE" w14:textId="77777777" w:rsidR="00313EEE" w:rsidRDefault="00313EEE" w:rsidP="004D74F2">
            <w:pPr>
              <w:pStyle w:val="ListParagraph"/>
              <w:numPr>
                <w:ilvl w:val="2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create negative examples by randomly pairing other words</w:t>
            </w:r>
          </w:p>
          <w:p w14:paraId="5A4D0DF6" w14:textId="556B32D6" w:rsidR="00313EEE" w:rsidRPr="00313EEE" w:rsidRDefault="00313EEE" w:rsidP="00313E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A1A30" w14:paraId="3769C7C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2CF3DF7" w14:textId="7EAFE263" w:rsidR="00CA1A30" w:rsidRDefault="00FA6917" w:rsidP="00CA1A30">
            <w:pPr>
              <w:spacing w:line="360" w:lineRule="auto"/>
              <w:rPr>
                <w:color w:val="80340D" w:themeColor="accent2" w:themeShade="80"/>
              </w:rPr>
            </w:pPr>
            <w:r w:rsidRPr="00FA6917">
              <w:rPr>
                <w:color w:val="80340D" w:themeColor="accent2" w:themeShade="80"/>
              </w:rPr>
              <w:lastRenderedPageBreak/>
              <w:t>Continuous Bag of Words (CBOW) Model</w:t>
            </w:r>
          </w:p>
        </w:tc>
        <w:tc>
          <w:tcPr>
            <w:tcW w:w="7416" w:type="dxa"/>
            <w:gridSpan w:val="4"/>
          </w:tcPr>
          <w:p w14:paraId="7E14008F" w14:textId="77777777" w:rsidR="00CA1A30" w:rsidRDefault="00FA6917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given the context, predict the word in the middle </w:t>
            </w:r>
          </w:p>
          <w:p w14:paraId="13F8D879" w14:textId="77777777" w:rsidR="00FA6917" w:rsidRPr="00FA6917" w:rsidRDefault="00FA6917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model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fox</m:t>
                  </m:r>
                </m:e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quick brown jumps over</m:t>
                  </m:r>
                </m:e>
              </m:d>
            </m:oMath>
          </w:p>
          <w:p w14:paraId="31C1B019" w14:textId="77777777" w:rsidR="00FA6917" w:rsidRPr="00FA6917" w:rsidRDefault="00FA6917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implementation similar to skip-gram</w:t>
            </w:r>
          </w:p>
          <w:p w14:paraId="51DFF18D" w14:textId="77777777" w:rsidR="00FA6917" w:rsidRDefault="00FA6917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instead of pairs token, we have a token and a context consisting </w:t>
            </w:r>
            <w:r w:rsidR="005758B4">
              <w:rPr>
                <w:color w:val="A02B93" w:themeColor="accent5"/>
              </w:rPr>
              <w:t>of multiple tokens</w:t>
            </w:r>
          </w:p>
          <w:p w14:paraId="70F0B947" w14:textId="77777777" w:rsidR="005758B4" w:rsidRDefault="005758B4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we handle this by representing the context with the sum of representations of all tokens in the context</w:t>
            </w:r>
          </w:p>
          <w:p w14:paraId="0388EFF2" w14:textId="35268DBC" w:rsidR="005758B4" w:rsidRPr="005758B4" w:rsidRDefault="005758B4" w:rsidP="005758B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A1A30" w14:paraId="457771A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59589C" w14:textId="1FCE7DB1" w:rsidR="00CA1A30" w:rsidRDefault="00F03599" w:rsidP="00CA1A30">
            <w:pPr>
              <w:spacing w:line="360" w:lineRule="auto"/>
              <w:rPr>
                <w:color w:val="80340D" w:themeColor="accent2" w:themeShade="80"/>
              </w:rPr>
            </w:pPr>
            <w:r w:rsidRPr="00F03599">
              <w:rPr>
                <w:color w:val="80340D" w:themeColor="accent2" w:themeShade="80"/>
              </w:rPr>
              <w:t>Properties of Word Embeddings</w:t>
            </w:r>
          </w:p>
        </w:tc>
        <w:tc>
          <w:tcPr>
            <w:tcW w:w="7416" w:type="dxa"/>
            <w:gridSpan w:val="4"/>
          </w:tcPr>
          <w:p w14:paraId="708A0113" w14:textId="77777777" w:rsidR="00CA1A30" w:rsidRDefault="00B81947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size of window affects the type of similarity</w:t>
            </w:r>
          </w:p>
          <w:p w14:paraId="57BA8A3C" w14:textId="77777777" w:rsidR="000D0318" w:rsidRDefault="00B81947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0318">
              <w:rPr>
                <w:color w:val="A02B93" w:themeColor="accent5"/>
              </w:rPr>
              <w:t>shorter window produces syntactically similar words</w:t>
            </w:r>
          </w:p>
          <w:p w14:paraId="3EB5BB21" w14:textId="2508AAD6" w:rsidR="000D0318" w:rsidRDefault="000D0318" w:rsidP="000D031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ex: Hogwarts -&gt; Sunnydale (fictional school)</w:t>
            </w:r>
          </w:p>
          <w:p w14:paraId="390F3AEA" w14:textId="2A55F571" w:rsidR="00B81947" w:rsidRDefault="00B81947" w:rsidP="00CA1A3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D0318">
              <w:rPr>
                <w:color w:val="A02B93" w:themeColor="accent5"/>
              </w:rPr>
              <w:t>longer window produces topically related words</w:t>
            </w:r>
          </w:p>
          <w:p w14:paraId="6F9E38BC" w14:textId="0F8D570C" w:rsidR="000D0318" w:rsidRPr="000D0318" w:rsidRDefault="000D0318" w:rsidP="000D0318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ex: Hogwarts -&gt; Dumbledore</w:t>
            </w:r>
          </w:p>
          <w:p w14:paraId="64A9142A" w14:textId="794097ED" w:rsidR="00B81947" w:rsidRPr="00B81947" w:rsidRDefault="00B81947" w:rsidP="00B819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477DD1F3" w14:textId="77777777" w:rsidR="00164723" w:rsidRDefault="00164723" w:rsidP="00CA1A30">
      <w:pPr>
        <w:spacing w:line="360" w:lineRule="auto"/>
      </w:pPr>
    </w:p>
    <w:p w14:paraId="68B42282" w14:textId="7E3114D2" w:rsidR="00460B73" w:rsidRDefault="00460B73" w:rsidP="00CA1A30">
      <w:pPr>
        <w:spacing w:line="360" w:lineRule="auto"/>
      </w:pPr>
      <w:r>
        <w:br w:type="page"/>
      </w:r>
    </w:p>
    <w:sectPr w:rsidR="00460B7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70C25" w14:textId="77777777" w:rsidR="001517A1" w:rsidRDefault="001517A1" w:rsidP="00832A42">
      <w:pPr>
        <w:spacing w:after="0" w:line="240" w:lineRule="auto"/>
      </w:pPr>
      <w:r>
        <w:separator/>
      </w:r>
    </w:p>
  </w:endnote>
  <w:endnote w:type="continuationSeparator" w:id="0">
    <w:p w14:paraId="00BFA13E" w14:textId="77777777" w:rsidR="001517A1" w:rsidRDefault="001517A1" w:rsidP="00832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55281" w14:textId="77777777" w:rsidR="001517A1" w:rsidRDefault="001517A1" w:rsidP="00832A42">
      <w:pPr>
        <w:spacing w:after="0" w:line="240" w:lineRule="auto"/>
      </w:pPr>
      <w:r>
        <w:separator/>
      </w:r>
    </w:p>
  </w:footnote>
  <w:footnote w:type="continuationSeparator" w:id="0">
    <w:p w14:paraId="49D59443" w14:textId="77777777" w:rsidR="001517A1" w:rsidRDefault="001517A1" w:rsidP="00832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F0912" w14:textId="5C0F7129" w:rsidR="00832A42" w:rsidRDefault="00832A42">
    <w:pPr>
      <w:pStyle w:val="Header"/>
    </w:pPr>
    <w:r>
      <w:t>DATA785</w:t>
    </w:r>
    <w:r>
      <w:tab/>
      <w:t>Week 04: Word Embeddings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F87E81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6F301D"/>
    <w:multiLevelType w:val="hybridMultilevel"/>
    <w:tmpl w:val="0CF6BA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FAC4211"/>
    <w:multiLevelType w:val="hybridMultilevel"/>
    <w:tmpl w:val="B3B81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  <w:num w:numId="4" w16cid:durableId="129791270">
    <w:abstractNumId w:val="4"/>
  </w:num>
  <w:num w:numId="5" w16cid:durableId="1729954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38B1"/>
    <w:rsid w:val="000871E7"/>
    <w:rsid w:val="000A69EC"/>
    <w:rsid w:val="000D0318"/>
    <w:rsid w:val="00104F4B"/>
    <w:rsid w:val="001517A1"/>
    <w:rsid w:val="00164723"/>
    <w:rsid w:val="001668AD"/>
    <w:rsid w:val="002511F6"/>
    <w:rsid w:val="00313EEE"/>
    <w:rsid w:val="00405326"/>
    <w:rsid w:val="00412130"/>
    <w:rsid w:val="004347D1"/>
    <w:rsid w:val="00460B73"/>
    <w:rsid w:val="004D6134"/>
    <w:rsid w:val="004D74F2"/>
    <w:rsid w:val="00515B6D"/>
    <w:rsid w:val="005758B4"/>
    <w:rsid w:val="005A3D3A"/>
    <w:rsid w:val="0068262A"/>
    <w:rsid w:val="006F56E7"/>
    <w:rsid w:val="00713741"/>
    <w:rsid w:val="00714711"/>
    <w:rsid w:val="00762699"/>
    <w:rsid w:val="00832A42"/>
    <w:rsid w:val="009213B7"/>
    <w:rsid w:val="00945CD4"/>
    <w:rsid w:val="00965FD4"/>
    <w:rsid w:val="00A3642B"/>
    <w:rsid w:val="00AD7538"/>
    <w:rsid w:val="00AE1298"/>
    <w:rsid w:val="00B81947"/>
    <w:rsid w:val="00BA4EB5"/>
    <w:rsid w:val="00BB3FAA"/>
    <w:rsid w:val="00BC05DD"/>
    <w:rsid w:val="00BF33D0"/>
    <w:rsid w:val="00CA1A30"/>
    <w:rsid w:val="00D06DCE"/>
    <w:rsid w:val="00E17351"/>
    <w:rsid w:val="00E259F3"/>
    <w:rsid w:val="00E96F7F"/>
    <w:rsid w:val="00F03599"/>
    <w:rsid w:val="00FA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26D7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E7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32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A42"/>
  </w:style>
  <w:style w:type="paragraph" w:styleId="Footer">
    <w:name w:val="footer"/>
    <w:basedOn w:val="Normal"/>
    <w:link w:val="FooterChar"/>
    <w:uiPriority w:val="99"/>
    <w:unhideWhenUsed/>
    <w:rsid w:val="00832A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A42"/>
  </w:style>
  <w:style w:type="character" w:styleId="PlaceholderText">
    <w:name w:val="Placeholder Text"/>
    <w:basedOn w:val="DefaultParagraphFont"/>
    <w:uiPriority w:val="99"/>
    <w:semiHidden/>
    <w:rsid w:val="000038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2</cp:revision>
  <dcterms:created xsi:type="dcterms:W3CDTF">2026-07-09T03:19:00Z</dcterms:created>
  <dcterms:modified xsi:type="dcterms:W3CDTF">2026-07-09T07:11:00Z</dcterms:modified>
</cp:coreProperties>
</file>