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2.png" ContentType="image/png"/>
  <Override PartName="/word/media/rId216.png" ContentType="image/png"/>
  <Override PartName="/word/media/rId176.png" ContentType="image/png"/>
  <Override PartName="/word/media/rId232.png" ContentType="image/png"/>
  <Override PartName="/word/media/rId85.png" ContentType="image/png"/>
  <Override PartName="/word/media/rId240.png" ContentType="image/png"/>
  <Override PartName="/word/media/rId41.png" ContentType="image/png"/>
  <Override PartName="/word/media/rId276.png" ContentType="image/png"/>
  <Override PartName="/word/media/rId152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364.png" ContentType="image/png"/>
  <Override PartName="/word/media/rId192.png" ContentType="image/png"/>
  <Override PartName="/word/media/rId288.png" ContentType="image/png"/>
  <Override PartName="/word/media/rId284.png" ContentType="image/png"/>
  <Override PartName="/word/media/rId308.png" ContentType="image/png"/>
  <Override PartName="/word/media/rId252.png" ContentType="image/png"/>
  <Override PartName="/word/media/rId220.png" ContentType="image/png"/>
  <Override PartName="/word/media/rId81.png" ContentType="image/png"/>
  <Override PartName="/word/media/rId236.png" ContentType="image/png"/>
  <Override PartName="/word/media/rId212.png" ContentType="image/png"/>
  <Override PartName="/word/media/rId148.png" ContentType="image/png"/>
  <Override PartName="/word/media/rId304.png" ContentType="image/png"/>
  <Override PartName="/word/media/rId328.png" ContentType="image/png"/>
  <Override PartName="/word/media/rId324.png" ContentType="image/png"/>
  <Override PartName="/word/media/rId144.png" ContentType="image/png"/>
  <Override PartName="/word/media/rId280.png" ContentType="image/png"/>
  <Override PartName="/word/media/rId188.png" ContentType="image/png"/>
  <Override PartName="/word/media/rId248.png" ContentType="image/png"/>
  <Override PartName="/word/media/rId200.png" ContentType="image/png"/>
  <Override PartName="/word/media/rId67.png" ContentType="image/png"/>
  <Override PartName="/word/media/rId168.png" ContentType="image/png"/>
  <Override PartName="/word/media/rId320.png" ContentType="image/png"/>
  <Override PartName="/word/media/rId180.png" ContentType="image/png"/>
  <Override PartName="/word/media/rId352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228.png" ContentType="image/png"/>
  <Override PartName="/word/media/rId160.png" ContentType="image/png"/>
  <Override PartName="/word/media/rId97.png" ContentType="image/png"/>
  <Override PartName="/word/media/rId312.png" ContentType="image/png"/>
  <Override PartName="/word/media/rId184.png" ContentType="image/png"/>
  <Override PartName="/word/media/rId47.png" ContentType="image/png"/>
  <Override PartName="/word/media/rId332.png" ContentType="image/png"/>
  <Override PartName="/word/media/rId244.png" ContentType="image/png"/>
  <Override PartName="/word/media/rId336.png" ContentType="image/png"/>
  <Override PartName="/word/media/rId204.png" ContentType="image/png"/>
  <Override PartName="/word/media/rId93.png" ContentType="image/png"/>
  <Override PartName="/word/media/rId268.png" ContentType="image/png"/>
  <Override PartName="/word/media/rId224.png" ContentType="image/png"/>
  <Override PartName="/word/media/rId260.png" ContentType="image/png"/>
  <Override PartName="/word/media/rId348.png" ContentType="image/png"/>
  <Override PartName="/word/media/rId340.png" ContentType="image/png"/>
  <Override PartName="/word/media/rId292.png" ContentType="image/png"/>
  <Override PartName="/word/media/rId164.png" ContentType="image/png"/>
  <Override PartName="/word/media/rId356.png" ContentType="image/png"/>
  <Override PartName="/word/media/rId72.png" ContentType="image/png"/>
  <Override PartName="/word/media/rId272.png" ContentType="image/png"/>
  <Override PartName="/word/media/rId156.png" ContentType="image/png"/>
  <Override PartName="/word/media/rId172.png" ContentType="image/png"/>
  <Override PartName="/word/media/rId300.png" ContentType="image/png"/>
  <Override PartName="/word/media/rId296.png" ContentType="image/png"/>
  <Override PartName="/word/media/rId89.png" ContentType="image/png"/>
  <Override PartName="/word/media/rId19.png" ContentType="image/png"/>
  <Override PartName="/word/media/rId196.png" ContentType="image/png"/>
  <Override PartName="/word/media/rId264.png" ContentType="image/png"/>
  <Override PartName="/word/media/rId62.png" ContentType="image/png"/>
  <Override PartName="/word/media/rId344.png" ContentType="image/png"/>
  <Override PartName="/word/media/rId360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208.png" ContentType="image/png"/>
  <Override PartName="/word/media/rId15.png" ContentType="image/png"/>
  <Override PartName="/word/media/rId376.png" ContentType="image/png"/>
  <Override PartName="/word/media/rId52.png" ContentType="image/png"/>
  <Override PartName="/word/media/rId256.png" ContentType="image/png"/>
  <Override PartName="/word/media/rId134.png" ContentType="image/png"/>
  <Override PartName="/word/media/rId138.png" ContentType="image/png"/>
  <Override PartName="/word/media/rId368.png" ContentType="image/png"/>
  <Override PartName="/word/media/rId3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2026.08.06i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7" w:name="data-model-pragmatic-er"/>
    <w:p>
      <w:pPr>
        <w:pStyle w:val="Heading1"/>
      </w:pPr>
      <w:r>
        <w:t xml:space="preserve">16. Data model (pragmatic ER)</w:t>
      </w:r>
    </w:p>
    <w:p>
      <w:pPr>
        <w:pStyle w:val="FirstParagraph"/>
      </w:pPr>
      <w:r>
        <w:t xml:space="preserve">Core authority tables hang off</w:t>
      </w:r>
      <w:r>
        <w:t xml:space="preserve"> </w:t>
      </w:r>
      <w:r>
        <w:rPr>
          <w:rStyle w:val="VerbatimChar"/>
          <w:b/>
          <w:bCs/>
        </w:rPr>
        <w:t xml:space="preserve">dbo.Runs</w:t>
      </w:r>
      <w:r>
        <w:t xml:space="preserve">. Comparison left/right run ids may omit FKs so historical rows stay referenceable. Full narrative: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.</w:t>
      </w:r>
    </w:p>
    <w:p>
      <w:pPr>
        <w:pStyle w:val="CaptionedFigure"/>
      </w:pPr>
      <w:r>
        <w:drawing>
          <wp:inline>
            <wp:extent cx="5334000" cy="1061357"/>
            <wp:effectExtent b="0" l="0" r="0" t="0"/>
            <wp:docPr descr="Data model ER" title="" id="145" name="Picture"/>
            <a:graphic>
              <a:graphicData uri="http://schemas.openxmlformats.org/drawingml/2006/picture">
                <pic:pic>
                  <pic:nvPicPr>
                    <pic:cNvPr descr="../architecture_diagrams/archlucid-data-model-er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model ER</w:t>
      </w:r>
    </w:p>
    <w:p>
      <w:pPr>
        <w:pStyle w:val="BodyText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ArchLucid.Persistence/Scripts/ArchLucid.sql</w:t>
      </w:r>
      <w:r>
        <w:t xml:space="preserve"> </w:t>
      </w:r>
      <w:r>
        <w:t xml:space="preserve">(one script per database).</w:t>
      </w:r>
    </w:p>
    <w:bookmarkEnd w:id="147"/>
    <w:bookmarkStart w:id="151" w:name="Xd37af0b638e03379331f22a5bcad44b635202f3"/>
    <w:p>
      <w:pPr>
        <w:pStyle w:val="Heading1"/>
      </w:pPr>
      <w:r>
        <w:t xml:space="preserve">17. Configuration precedence and fail-closed rules</w:t>
      </w:r>
    </w:p>
    <w:p>
      <w:pPr>
        <w:pStyle w:val="FirstParagraph"/>
      </w:pPr>
      <w:r>
        <w:t xml:space="preserve">Layered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: appsettings â†’ Advanced/SaaS overlays â†’</w:t>
      </w:r>
      <w:r>
        <w:t xml:space="preserve"> </w:t>
      </w:r>
      <w:r>
        <w:rPr>
          <w:b/>
          <w:bCs/>
        </w:rPr>
        <w:t xml:space="preserve">environment wins</w:t>
      </w:r>
      <w:r>
        <w:t xml:space="preserve"> </w:t>
      </w:r>
      <w:r>
        <w:t xml:space="preserve">â†’ in-memory bridges. Only</w:t>
      </w:r>
      <w:r>
        <w:t xml:space="preserve"> </w:t>
      </w:r>
      <w:r>
        <w:rPr>
          <w:rStyle w:val="VerbatimChar"/>
          <w:b/>
          <w:bCs/>
        </w:rPr>
        <w:t xml:space="preserve">ArchLucid*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ARCHLUCID_*</w:t>
      </w:r>
      <w:r>
        <w:t xml:space="preserve"> </w:t>
      </w:r>
      <w:r>
        <w:t xml:space="preserve">are authoritative; legacy</w:t>
      </w:r>
      <w:r>
        <w:t xml:space="preserve"> </w:t>
      </w:r>
      <w:r>
        <w:rPr>
          <w:rStyle w:val="VerbatimChar"/>
        </w:rPr>
        <w:t xml:space="preserve">ArchiForge*</w:t>
      </w:r>
      <w:r>
        <w:t xml:space="preserve"> </w:t>
      </w:r>
      <w:r>
        <w:t xml:space="preserve">keys warn and are ignored.</w:t>
      </w:r>
    </w:p>
    <w:p>
      <w:pPr>
        <w:pStyle w:val="CaptionedFigure"/>
      </w:pPr>
      <w:r>
        <w:drawing>
          <wp:inline>
            <wp:extent cx="5334000" cy="3605892"/>
            <wp:effectExtent b="0" l="0" r="0" t="0"/>
            <wp:docPr descr="Config precedence" title="" id="149" name="Picture"/>
            <a:graphic>
              <a:graphicData uri="http://schemas.openxmlformats.org/drawingml/2006/picture">
                <pic:pic>
                  <pic:nvPicPr>
                    <pic:cNvPr descr="../architecture_diagrams/archlucid-config-preced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precedence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docs/library/CONFIGURATION_REFERENCE.md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CONFIGURATION_ARCHITECTURE_PRECEDENCE_VALIDATION_DRIFT_CLAIM_MAP.md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CONFIG_BRIDGE_SUNSET.md</w:t>
      </w:r>
      <w:r>
        <w:t xml:space="preserve">.</w:t>
      </w:r>
    </w:p>
    <w:bookmarkEnd w:id="151"/>
    <w:bookmarkStart w:id="155" w:name="authentication-by-route-tier"/>
    <w:p>
      <w:pPr>
        <w:pStyle w:val="Heading1"/>
      </w:pPr>
      <w:r>
        <w:t xml:space="preserve">18. Authentication by route tier</w:t>
      </w:r>
    </w:p>
    <w:p>
      <w:pPr>
        <w:pStyle w:val="FirstParagraph"/>
      </w:pPr>
      <w:r>
        <w:t xml:space="preserve">Anonymous health/version, unscoped marketing/webhook routes, and scoped operator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with JWT or API keys. Production-like hosts reject header-only scope and development bypass.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uthN route matrix" title="" id="153" name="Picture"/>
            <a:graphic>
              <a:graphicData uri="http://schemas.openxmlformats.org/drawingml/2006/picture">
                <pic:pic>
                  <pic:nvPicPr>
                    <pic:cNvPr descr="../architecture_diagrams/archlucid-authn-route-matrix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AuthN route matrix</w:t>
      </w:r>
    </w:p>
    <w:p>
      <w:pPr>
        <w:pStyle w:val="BodyText"/>
      </w:pPr>
      <w:r>
        <w:t xml:space="preserve">See tenant isolation chapter and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155"/>
    <w:bookmarkStart w:id="159" w:name="pilot-day-0-day-1-wireflow"/>
    <w:p>
      <w:pPr>
        <w:pStyle w:val="Heading1"/>
      </w:pPr>
      <w:r>
        <w:t xml:space="preserve">19. Pilot day-0 / day-1 wireflow</w:t>
      </w:r>
    </w:p>
    <w:p>
      <w:pPr>
        <w:pStyle w:val="FirstParagraph"/>
      </w:pPr>
      <w:r>
        <w:t xml:space="preserve">Operator click-path (not C4): signup â†’ intake â†’ first review â†’ finalize â†’ export â†’ invite reviewer â†’ ongoing compare/Ask.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Pilot day0 day1" title="" id="157" name="Picture"/>
            <a:graphic>
              <a:graphicData uri="http://schemas.openxmlformats.org/drawingml/2006/picture">
                <pic:pic>
                  <pic:nvPicPr>
                    <pic:cNvPr descr="../architecture_diagrams/archlucid-pilot-day0-day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 day0 day1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docs/CORE_PILOT.md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docs/library/CANONICAL_FIRST_RUN_PATH.md</w:t>
      </w:r>
      <w:r>
        <w:t xml:space="preserve">.</w:t>
      </w:r>
    </w:p>
    <w:bookmarkEnd w:id="159"/>
    <w:bookmarkStart w:id="163" w:name="finops-and-capacity-drivers"/>
    <w:p>
      <w:pPr>
        <w:pStyle w:val="Heading1"/>
      </w:pPr>
      <w:r>
        <w:t xml:space="preserve">20. FinOps and capacity drivers</w:t>
      </w:r>
    </w:p>
    <w:p>
      <w:pPr>
        <w:pStyle w:val="FirstParagraph"/>
      </w:pPr>
      <w:r>
        <w:t xml:space="preserve">Dominant spend: Azure OpenAI (completions + embeddings), Azure SQL (especially per-tenant catalogs), Container Apps replicas. Optional bus/blob/edge add marginal cost.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inOps cost" title="" id="161" name="Picture"/>
            <a:graphic>
              <a:graphicData uri="http://schemas.openxmlformats.org/drawingml/2006/picture">
                <pic:pic>
                  <pic:nvPicPr>
                    <pic:cNvPr descr="../architecture_diagrams/archlucid-finops-cos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cost</w:t>
      </w:r>
    </w:p>
    <w:p>
      <w:pPr>
        <w:pStyle w:val="BodyText"/>
      </w:pPr>
      <w:r>
        <w:t xml:space="preserve">Playbook:</w:t>
      </w:r>
      <w:r>
        <w:t xml:space="preserve"> </w:t>
      </w:r>
      <w:r>
        <w:rPr>
          <w:rStyle w:val="VerbatimChar"/>
        </w:rPr>
        <w:t xml:space="preserve">docs/library/CAPACITY_AND_COST_PLAYBOOK.md</w:t>
      </w:r>
      <w:r>
        <w:t xml:space="preserve">.</w:t>
      </w:r>
    </w:p>
    <w:bookmarkEnd w:id="163"/>
    <w:bookmarkStart w:id="167" w:name="observability-map"/>
    <w:p>
      <w:pPr>
        <w:pStyle w:val="Heading1"/>
      </w:pPr>
      <w:r>
        <w:t xml:space="preserve">21. Observability map</w:t>
      </w:r>
    </w:p>
    <w:p>
      <w:pPr>
        <w:pStyle w:val="FirstParagraph"/>
      </w:pPr>
      <w:r>
        <w:t xml:space="preserve">Authority stages emit OpenTelemetry spans (</w:t>
      </w:r>
      <w:r>
        <w:rPr>
          <w:rStyle w:val="VerbatimChar"/>
        </w:rPr>
        <w:t xml:space="preserve">authority.*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). Outbox depth and pipeline timeouts surface as meters; support correlates logs via correlation id +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Observability map" title="" id="165" name="Picture"/>
            <a:graphic>
              <a:graphicData uri="http://schemas.openxmlformats.org/drawingml/2006/picture">
                <pic:pic>
                  <pic:nvPicPr>
                    <pic:cNvPr descr="../architecture_diagrams/archlucid-observability-ma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map</w:t>
      </w:r>
    </w:p>
    <w:p>
      <w:pPr>
        <w:pStyle w:val="BodyText"/>
      </w:pPr>
      <w:r>
        <w:t xml:space="preserve">Alerts:</w:t>
      </w:r>
      <w:r>
        <w:t xml:space="preserve"> </w:t>
      </w:r>
      <w:r>
        <w:rPr>
          <w:rStyle w:val="VerbatimChar"/>
        </w:rPr>
        <w:t xml:space="preserve">infra/prometheus/archlucid-alerts.yml</w:t>
      </w:r>
      <w:r>
        <w:t xml:space="preserve">. Background correlation: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.</w:t>
      </w:r>
    </w:p>
    <w:bookmarkEnd w:id="167"/>
    <w:bookmarkStart w:id="171" w:name="dr-failover-drill-storyboard"/>
    <w:p>
      <w:pPr>
        <w:pStyle w:val="Heading1"/>
      </w:pPr>
      <w:r>
        <w:t xml:space="preserve">22. DR / failover drill storyboard</w:t>
      </w:r>
    </w:p>
    <w:p>
      <w:pPr>
        <w:pStyle w:val="FirstParagraph"/>
      </w:pPr>
      <w:r>
        <w:t xml:space="preserve">SQL geo failover group listener is the app connection target. Drill: confirm listener â†’ force failover â†’ Api/Worker follow listener â†’ smoke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 synthetic review â†’ record actual RTO vs targets.</w:t>
      </w:r>
    </w:p>
    <w:p>
      <w:pPr>
        <w:pStyle w:val="CaptionedFigure"/>
      </w:pPr>
      <w:r>
        <w:drawing>
          <wp:inline>
            <wp:extent cx="5334000" cy="2388053"/>
            <wp:effectExtent b="0" l="0" r="0" t="0"/>
            <wp:docPr descr="DR failover drill" title="" id="169" name="Picture"/>
            <a:graphic>
              <a:graphicData uri="http://schemas.openxmlformats.org/drawingml/2006/picture">
                <pic:pic>
                  <pic:nvPicPr>
                    <pic:cNvPr descr="../architecture_diagrams/archlucid-dr-failover-drill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 failover drill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docs/runbooks/DATABASE_FAILOVER.md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docs/RTO_RPO_TARGETS.md</w:t>
      </w:r>
      <w:r>
        <w:t xml:space="preserve"> </w:t>
      </w:r>
      <w:r>
        <w:t xml:space="preserve">(when present in tree).</w:t>
      </w:r>
    </w:p>
    <w:bookmarkEnd w:id="171"/>
    <w:bookmarkStart w:id="175" w:name="policy-pack-authoring-sdlc"/>
    <w:p>
      <w:pPr>
        <w:pStyle w:val="Heading1"/>
      </w:pPr>
      <w:r>
        <w:t xml:space="preserve">23. Policy-pack authoring SDLC</w:t>
      </w:r>
    </w:p>
    <w:p>
      <w:pPr>
        <w:pStyle w:val="FirstParagraph"/>
      </w:pPr>
      <w:r>
        <w:t xml:space="preserve">Content velocity: LLM draft â†’ critic â†’ SME â†’ publish â†’ scope assign â†’ hierarchical effective merge â†’ advisory hits on reviews.</w:t>
      </w:r>
    </w:p>
    <w:p>
      <w:pPr>
        <w:pStyle w:val="CaptionedFigure"/>
      </w:pPr>
      <w:r>
        <w:drawing>
          <wp:inline>
            <wp:extent cx="5334000" cy="224517"/>
            <wp:effectExtent b="0" l="0" r="0" t="0"/>
            <wp:docPr descr="Policy pack SDLC" title="" id="173" name="Picture"/>
            <a:graphic>
              <a:graphicData uri="http://schemas.openxmlformats.org/drawingml/2006/picture">
                <pic:pic>
                  <pic:nvPicPr>
                    <pic:cNvPr descr="../architecture_diagrams/archlucid-policy-pack-sdlc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pack SDLC</w:t>
      </w:r>
    </w:p>
    <w:p>
      <w:pPr>
        <w:pStyle w:val="BodyText"/>
      </w:pPr>
      <w:r>
        <w:t xml:space="preserve">Samples under</w:t>
      </w:r>
      <w:r>
        <w:t xml:space="preserve"> </w:t>
      </w:r>
      <w:r>
        <w:rPr>
          <w:rStyle w:val="VerbatimChar"/>
        </w:rPr>
        <w:t xml:space="preserve">docs/samples/policy-packs/</w:t>
      </w:r>
      <w:r>
        <w:t xml:space="preserve">. Backlog: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175"/>
    <w:bookmarkStart w:id="179" w:name="api-surface-heat-map"/>
    <w:p>
      <w:pPr>
        <w:pStyle w:val="Heading1"/>
      </w:pPr>
      <w:r>
        <w:t xml:space="preserve">24. API surface heat map</w:t>
      </w:r>
    </w:p>
    <w:p>
      <w:pPr>
        <w:pStyle w:val="FirstParagraph"/>
      </w:pPr>
      <w:r>
        <w:t xml:space="preserve">Public/demo routes stay lightly authenticated; operator architecture APIs use fixed/expensive rate limits; comparisons, Ask, and reports are heavier; governance/admin are authority-gated.</w:t>
      </w:r>
    </w:p>
    <w:p>
      <w:pPr>
        <w:pStyle w:val="CaptionedFigure"/>
      </w:pPr>
      <w:r>
        <w:drawing>
          <wp:inline>
            <wp:extent cx="5334000" cy="9051636"/>
            <wp:effectExtent b="0" l="0" r="0" t="0"/>
            <wp:docPr descr="API surface heatmap" title="" id="177" name="Picture"/>
            <a:graphic>
              <a:graphicData uri="http://schemas.openxmlformats.org/drawingml/2006/picture">
                <pic:pic>
                  <pic:nvPicPr>
                    <pic:cNvPr descr="../architecture_diagrams/archlucid-api-surface-heatmap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surface heatmap</w:t>
      </w:r>
    </w:p>
    <w:p>
      <w:pPr>
        <w:pStyle w:val="BodyText"/>
      </w:pPr>
      <w:r>
        <w:t xml:space="preserve">Contracts:</w:t>
      </w:r>
      <w:r>
        <w:t xml:space="preserve"> </w:t>
      </w:r>
      <w:r>
        <w:rPr>
          <w:rStyle w:val="VerbatimChar"/>
        </w:rPr>
        <w:t xml:space="preserve">docs/library/API_CONTRACTS.md</w:t>
      </w:r>
      <w:r>
        <w:t xml:space="preserve">. Atlas:</w:t>
      </w:r>
      <w:r>
        <w:t xml:space="preserve"> </w:t>
      </w:r>
      <w:r>
        <w:rPr>
          <w:rStyle w:val="VerbatimChar"/>
        </w:rPr>
        <w:t xml:space="preserve">docs/library/OPERATOR_ATLAS.md</w:t>
      </w:r>
      <w:r>
        <w:t xml:space="preserve">.</w:t>
      </w:r>
    </w:p>
    <w:bookmarkEnd w:id="179"/>
    <w:bookmarkStart w:id="183" w:name="evidence-intake-to-context-snapshot"/>
    <w:p>
      <w:pPr>
        <w:pStyle w:val="Heading1"/>
      </w:pPr>
      <w:r>
        <w:t xml:space="preserve">25. Evidence intake to context snapshot</w:t>
      </w:r>
    </w:p>
    <w:p>
      <w:pPr>
        <w:pStyle w:val="FirstParagraph"/>
      </w:pPr>
      <w:r>
        <w:t xml:space="preserve">Evidence (brief, documents, images, cloud ZIP) is validated in the intake wizard or API, assigned an evidence-bundle id, then consumed by authority</w:t>
      </w:r>
      <w:r>
        <w:t xml:space="preserve"> </w:t>
      </w:r>
      <w:r>
        <w:rPr>
          <w:b/>
          <w:bCs/>
        </w:rPr>
        <w:t xml:space="preserve">context ingestion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 </w:t>
      </w:r>
      <w:r>
        <w:t xml:space="preserve">linked from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.</w:t>
      </w:r>
    </w:p>
    <w:p>
      <w:pPr>
        <w:pStyle w:val="CaptionedFigure"/>
      </w:pPr>
      <w:r>
        <w:drawing>
          <wp:inline>
            <wp:extent cx="5334000" cy="1694089"/>
            <wp:effectExtent b="0" l="0" r="0" t="0"/>
            <wp:docPr descr="Evidence intake" title="" id="181" name="Picture"/>
            <a:graphic>
              <a:graphicData uri="http://schemas.openxmlformats.org/drawingml/2006/picture">
                <pic:pic>
                  <pic:nvPicPr>
                    <pic:cNvPr descr="../architecture_diagrams/archlucid-evidence-intake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intake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docs/library/customer-facing/EVIDENCE_INTAKE_OPERATOR_GUIDE.md</w:t>
      </w:r>
      <w:r>
        <w:t xml:space="preserve">.</w:t>
      </w:r>
    </w:p>
    <w:bookmarkEnd w:id="183"/>
    <w:bookmarkStart w:id="187" w:name="golden-manifest-anatomy"/>
    <w:p>
      <w:pPr>
        <w:pStyle w:val="Heading1"/>
      </w:pPr>
      <w:r>
        <w:t xml:space="preserve">26. Golden manifest anatomy</w:t>
      </w:r>
    </w:p>
    <w:p>
      <w:pPr>
        <w:pStyle w:val="FirstParagraph"/>
      </w:pPr>
      <w:r>
        <w:t xml:space="preserve">The committed architecture package (API: golden manifest) carries topology, cost, compliance, and critic-oriented sections plus version/scope metadata. UI panels and consulting exports read from this shape; a decision trace is the companion audit trail.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Golden manifest anatomy" title="" id="185" name="Picture"/>
            <a:graphic>
              <a:graphicData uri="http://schemas.openxmlformats.org/drawingml/2006/picture">
                <pic:pic>
                  <pic:nvPicPr>
                    <pic:cNvPr descr="../architecture_diagrams/archlucid-golden-manifest-anatomy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manifest anatomy</w:t>
      </w:r>
    </w:p>
    <w:bookmarkEnd w:id="187"/>
    <w:bookmarkStart w:id="191" w:name="decision-trace-replay-walkthrough"/>
    <w:p>
      <w:pPr>
        <w:pStyle w:val="Heading1"/>
      </w:pPr>
      <w:r>
        <w:t xml:space="preserve">27. Decision-trace replay walkthrough</w:t>
      </w:r>
    </w:p>
    <w:p>
      <w:pPr>
        <w:pStyle w:val="FirstParagraph"/>
      </w:pPr>
      <w:r>
        <w:t xml:space="preserve">Support and audit path: finding â†’ decision-trace entry â†’ policy rule id â†’ evidence/snapshot hint â†’ â€œwhy this firedâ€ for sponsors.</w:t>
      </w:r>
    </w:p>
    <w:p>
      <w:pPr>
        <w:pStyle w:val="CaptionedFigure"/>
      </w:pPr>
      <w:r>
        <w:drawing>
          <wp:inline>
            <wp:extent cx="5334000" cy="591910"/>
            <wp:effectExtent b="0" l="0" r="0" t="0"/>
            <wp:docPr descr="Decision trace replay" title="" id="189" name="Picture"/>
            <a:graphic>
              <a:graphicData uri="http://schemas.openxmlformats.org/drawingml/2006/picture">
                <pic:pic>
                  <pic:nvPicPr>
                    <pic:cNvPr descr="../architecture_diagrams/archlucid-decision-trace-repla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trace replay</w:t>
      </w:r>
    </w:p>
    <w:bookmarkEnd w:id="191"/>
    <w:bookmarkStart w:id="195" w:name="billing-trial-and-marketplace"/>
    <w:p>
      <w:pPr>
        <w:pStyle w:val="Heading1"/>
      </w:pPr>
      <w:r>
        <w:t xml:space="preserve">28. Billing, trial, and Marketplace</w:t>
      </w:r>
    </w:p>
    <w:p>
      <w:pPr>
        <w:pStyle w:val="FirstParagraph"/>
      </w:pPr>
      <w:r>
        <w:t xml:space="preserve">V1 ships wiring and sales-led pricing; live Stripe keys, published Marketplace offer, and signup DNS cutover remain owner flips (V1.1 candidate). Production safety rules fail closed on unsafe billing config.</w:t>
      </w:r>
    </w:p>
    <w:p>
      <w:pPr>
        <w:pStyle w:val="CaptionedFigure"/>
      </w:pPr>
      <w:r>
        <w:drawing>
          <wp:inline>
            <wp:extent cx="5334000" cy="1578428"/>
            <wp:effectExtent b="0" l="0" r="0" t="0"/>
            <wp:docPr descr="Billing trial Marketplace" title="" id="193" name="Picture"/>
            <a:graphic>
              <a:graphicData uri="http://schemas.openxmlformats.org/drawingml/2006/picture">
                <pic:pic>
                  <pic:nvPicPr>
                    <pic:cNvPr descr="../architecture_diagrams/archlucid-billing-trial-marketplac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trial Marketplace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docs/library/V1_SCOPE.md</w:t>
      </w:r>
      <w:r>
        <w:t xml:space="preserve"> </w:t>
      </w:r>
      <w:r>
        <w:t xml:space="preserve">commerce rows.</w:t>
      </w:r>
    </w:p>
    <w:bookmarkEnd w:id="195"/>
    <w:bookmarkStart w:id="199" w:name="scim-and-users-roles"/>
    <w:p>
      <w:pPr>
        <w:pStyle w:val="Heading1"/>
      </w:pPr>
      <w:r>
        <w:t xml:space="preserve">29. SCIM and users &amp; roles</w:t>
      </w:r>
    </w:p>
    <w:p>
      <w:pPr>
        <w:pStyle w:val="FirstParagraph"/>
      </w:pPr>
      <w:r>
        <w:t xml:space="preserve">Inbound SCIM 2.0 (</w:t>
      </w:r>
      <w:r>
        <w:rPr>
          <w:rStyle w:val="VerbatimChar"/>
        </w:rPr>
        <w:t xml:space="preserve">/scim/v2/*</w:t>
      </w:r>
      <w:r>
        <w:t xml:space="preserve">) uses per-tenant bearer tokens, maps groups to roles, and feeds seat accounting. Resulting users surface in operator users-and-roles; tokens become JWT/session claims for authZ policies.</w:t>
      </w:r>
    </w:p>
    <w:p>
      <w:pPr>
        <w:pStyle w:val="CaptionedFigure"/>
      </w:pPr>
      <w:r>
        <w:drawing>
          <wp:inline>
            <wp:extent cx="5334000" cy="727982"/>
            <wp:effectExtent b="0" l="0" r="0" t="0"/>
            <wp:docPr descr="SCIM users roles" title="" id="197" name="Picture"/>
            <a:graphic>
              <a:graphicData uri="http://schemas.openxmlformats.org/drawingml/2006/picture">
                <pic:pic>
                  <pic:nvPicPr>
                    <pic:cNvPr descr="../architecture_diagrams/archlucid-scim-users-role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SCIM users roles</w:t>
      </w:r>
    </w:p>
    <w:p>
      <w:pPr>
        <w:pStyle w:val="BodyText"/>
      </w:pPr>
      <w:r>
        <w:t xml:space="preserve">ADR 0032 Â·</w:t>
      </w:r>
      <w:r>
        <w:t xml:space="preserve"> </w:t>
      </w:r>
      <w:r>
        <w:rPr>
          <w:rStyle w:val="VerbatimChar"/>
        </w:rPr>
        <w:t xml:space="preserve">docs/integrations/SCIM_PROVISIONING.md</w:t>
      </w:r>
      <w:r>
        <w:t xml:space="preserve">.</w:t>
      </w:r>
    </w:p>
    <w:bookmarkEnd w:id="199"/>
    <w:bookmarkStart w:id="203" w:name="digest-and-alert-subscriptions"/>
    <w:p>
      <w:pPr>
        <w:pStyle w:val="Heading1"/>
      </w:pPr>
      <w:r>
        <w:t xml:space="preserve">30. Digest and alert subscriptions</w:t>
      </w:r>
    </w:p>
    <w:p>
      <w:pPr>
        <w:pStyle w:val="FirstParagraph"/>
      </w:pPr>
      <w:r>
        <w:t xml:space="preserve">Schedules drive advisory scans â†’ digest payloads â†’ tenant channel preferences (email / Teams / webhook) and optional Service Bus / Logic Apps fan-out via the integration outbox.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Digest alert subscriptions" title="" id="201" name="Picture"/>
            <a:graphic>
              <a:graphicData uri="http://schemas.openxmlformats.org/drawingml/2006/picture">
                <pic:pic>
                  <pic:nvPicPr>
                    <pic:cNvPr descr="../architecture_diagrams/archlucid-digest-alert-subscription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Digest alert subscriptions</w:t>
      </w:r>
    </w:p>
    <w:bookmarkEnd w:id="203"/>
    <w:bookmarkStart w:id="207" w:name="hot-path-performance"/>
    <w:p>
      <w:pPr>
        <w:pStyle w:val="Heading1"/>
      </w:pPr>
      <w:r>
        <w:t xml:space="preserve">31. Hot-path performance</w:t>
      </w:r>
    </w:p>
    <w:p>
      <w:pPr>
        <w:pStyle w:val="FirstParagraph"/>
      </w:pPr>
      <w:r>
        <w:t xml:space="preserve">Mermaid, React Flow, and charts stay behind dynamic imports (import-policy tests). List APIs should avoid fat JSON blobs; caching decorators and rate-limit classes protect expensive routes.</w:t>
      </w:r>
    </w:p>
    <w:p>
      <w:pPr>
        <w:pStyle w:val="CaptionedFigure"/>
      </w:pPr>
      <w:r>
        <w:drawing>
          <wp:inline>
            <wp:extent cx="5334000" cy="2081892"/>
            <wp:effectExtent b="0" l="0" r="0" t="0"/>
            <wp:docPr descr="Hot path performance" title="" id="205" name="Picture"/>
            <a:graphic>
              <a:graphicData uri="http://schemas.openxmlformats.org/drawingml/2006/picture">
                <pic:pic>
                  <pic:nvPicPr>
                    <pic:cNvPr descr="../architecture_diagrams/archlucid-hot-path-performance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path performance</w:t>
      </w:r>
    </w:p>
    <w:bookmarkEnd w:id="207"/>
    <w:bookmarkStart w:id="211" w:name="storage-provider-modes"/>
    <w:p>
      <w:pPr>
        <w:pStyle w:val="Heading1"/>
      </w:pPr>
      <w:r>
        <w:t xml:space="preserve">32. Storage provider modes</w:t>
      </w:r>
    </w:p>
    <w:p>
      <w:pPr>
        <w:pStyle w:val="FirstParagraph"/>
      </w:pPr>
      <w:r>
        <w:rPr>
          <w:rStyle w:val="VerbatimChar"/>
        </w:rPr>
        <w:t xml:space="preserve">InMemory</w:t>
      </w:r>
      <w:r>
        <w:t xml:space="preserve"> </w:t>
      </w:r>
      <w:r>
        <w:t xml:space="preserve">never queues authority (dev/tests).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is the production path and must use</w:t>
      </w:r>
      <w:r>
        <w:t xml:space="preserve"> </w:t>
      </w:r>
      <w:r>
        <w:rPr>
          <w:rStyle w:val="VerbatimChar"/>
        </w:rPr>
        <w:t xml:space="preserve">SystemWithPerTenantCatalogs</w:t>
      </w:r>
      <w:r>
        <w:t xml:space="preserve"> </w:t>
      </w:r>
      <w:r>
        <w:t xml:space="preserve">on hosted workloads;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CI/local only and fail-closed in prod-like hosts. Cosmos graph remains an optional outbox side path.</w:t>
      </w:r>
    </w:p>
    <w:p>
      <w:pPr>
        <w:pStyle w:val="CaptionedFigure"/>
      </w:pPr>
      <w:r>
        <w:drawing>
          <wp:inline>
            <wp:extent cx="5334000" cy="4633232"/>
            <wp:effectExtent b="0" l="0" r="0" t="0"/>
            <wp:docPr descr="Storage provider modes" title="" id="209" name="Picture"/>
            <a:graphic>
              <a:graphicData uri="http://schemas.openxmlformats.org/drawingml/2006/picture">
                <pic:pic>
                  <pic:nvPicPr>
                    <pic:cNvPr descr="../architecture_diagrams/archlucid-storage-provider-mod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Storage provider modes</w:t>
      </w:r>
    </w:p>
    <w:bookmarkEnd w:id="211"/>
    <w:bookmarkStart w:id="215" w:name="compliance-claim-honesty-board"/>
    <w:p>
      <w:pPr>
        <w:pStyle w:val="Heading1"/>
      </w:pPr>
      <w:r>
        <w:t xml:space="preserve">33. Compliance claim honesty board</w:t>
      </w:r>
    </w:p>
    <w:p>
      <w:pPr>
        <w:pStyle w:val="FirstParagraph"/>
      </w:pPr>
      <w:r>
        <w:t xml:space="preserve">Trust-center copy may describe owner pen-test posture, SOC self-assessment honesty, ADR 0037 isolation, and default-deny API.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CPA SOC 2 report or a published third-party pen test until those exist (GTM</w:t>
      </w:r>
      <w:r>
        <w:t xml:space="preserve"> </w:t>
      </w:r>
      <w:r>
        <w:rPr>
          <w:b/>
          <w:bCs/>
        </w:rPr>
        <w:t xml:space="preserve">G-REAL-05</w:t>
      </w:r>
      <w:r>
        <w:t xml:space="preserve">,</w:t>
      </w:r>
      <w:r>
        <w:t xml:space="preserve"> </w:t>
      </w:r>
      <w:r>
        <w:rPr>
          <w:b/>
          <w:bCs/>
        </w:rPr>
        <w:t xml:space="preserve">G-ASSURANCE-02</w:t>
      </w:r>
      <w:r>
        <w:t xml:space="preserve">). Tech TB-135/TB-136 tracking is closed; owner execution remains open.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Compliance claim honesty" title="" id="213" name="Picture"/>
            <a:graphic>
              <a:graphicData uri="http://schemas.openxmlformats.org/drawingml/2006/picture">
                <pic:pic>
                  <pic:nvPicPr>
                    <pic:cNvPr descr="../architecture_diagrams/archlucid-compliance-claim-honesty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Compliance claim honesty</w:t>
      </w:r>
    </w:p>
    <w:bookmarkEnd w:id="215"/>
    <w:bookmarkStart w:id="219" w:name="agent-task-simulator-matrix"/>
    <w:p>
      <w:pPr>
        <w:pStyle w:val="Heading1"/>
      </w:pPr>
      <w:r>
        <w:t xml:space="preserve">34. Agent-task / simulator matrix</w:t>
      </w:r>
    </w:p>
    <w:p>
      <w:pPr>
        <w:pStyle w:val="FirstParagraph"/>
      </w:pPr>
      <w:r>
        <w:t xml:space="preserve">Authority-complete runs must not be driven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result</w:t>
      </w:r>
      <w:r>
        <w:t xml:space="preserve">. Legacy coordinator expects four</w:t>
      </w:r>
      <w:r>
        <w:t xml:space="preserve"> </w:t>
      </w:r>
      <w:r>
        <w:rPr>
          <w:rStyle w:val="VerbatimChar"/>
        </w:rPr>
        <w:t xml:space="preserve">AgentResult</w:t>
      </w:r>
      <w:r>
        <w:t xml:space="preserve"> </w:t>
      </w:r>
      <w:r>
        <w:t xml:space="preserve">types (topology, cost, compliance, critic) before finalize. Executor may be simulator or real Azure OpenAI.</w:t>
      </w:r>
    </w:p>
    <w:p>
      <w:pPr>
        <w:pStyle w:val="CaptionedFigure"/>
      </w:pPr>
      <w:r>
        <w:drawing>
          <wp:inline>
            <wp:extent cx="5334000" cy="8143875"/>
            <wp:effectExtent b="0" l="0" r="0" t="0"/>
            <wp:docPr descr="Agent task simulator matrix" title="" id="217" name="Picture"/>
            <a:graphic>
              <a:graphicData uri="http://schemas.openxmlformats.org/drawingml/2006/picture">
                <pic:pic>
                  <pic:nvPicPr>
                    <pic:cNvPr descr="../architecture_diagrams/archlucid-agent-task-simulator-matrix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task simulator matrix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AUTHORITY_VS_AGENTTASK_LOOP_CANONICAL_PATH_CONTRACT.md</w:t>
      </w:r>
      <w:r>
        <w:t xml:space="preserve"> </w:t>
      </w:r>
      <w:r>
        <w:t xml:space="preserve">(TB-1007).</w:t>
      </w:r>
    </w:p>
    <w:bookmarkEnd w:id="219"/>
    <w:bookmarkStart w:id="223" w:name="cloud-extractors-and-context-ingestion"/>
    <w:p>
      <w:pPr>
        <w:pStyle w:val="Heading1"/>
      </w:pPr>
      <w:r>
        <w:t xml:space="preserve">35. Cloud extractors and context ingestion</w:t>
      </w:r>
    </w:p>
    <w:p>
      <w:pPr>
        <w:pStyle w:val="FirstParagraph"/>
      </w:pPr>
      <w:r>
        <w:t xml:space="preserve">Per-tenant cloud connections feed Azure/AWS/GCP extractors (ZIP/inventory layouts). ContextIngestion normalizes objects and delta summaries 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.</w:t>
      </w:r>
    </w:p>
    <w:p>
      <w:pPr>
        <w:pStyle w:val="CaptionedFigure"/>
      </w:pPr>
      <w:r>
        <w:drawing>
          <wp:inline>
            <wp:extent cx="5334000" cy="1435553"/>
            <wp:effectExtent b="0" l="0" r="0" t="0"/>
            <wp:docPr descr="Cloud extractors" title="" id="221" name="Picture"/>
            <a:graphic>
              <a:graphicData uri="http://schemas.openxmlformats.org/drawingml/2006/picture">
                <pic:pic>
                  <pic:nvPicPr>
                    <pic:cNvPr descr="../architecture_diagrams/archlucid-cloud-extractors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Cloud extractors</w:t>
      </w:r>
    </w:p>
    <w:bookmarkEnd w:id="223"/>
    <w:bookmarkStart w:id="227" w:name="knowledge-graph-model"/>
    <w:p>
      <w:pPr>
        <w:pStyle w:val="Heading1"/>
      </w:pPr>
      <w:r>
        <w:t xml:space="preserve">36. Knowledge graph model</w:t>
      </w:r>
    </w:p>
    <w:p>
      <w:pPr>
        <w:pStyle w:val="FirstParagraph"/>
      </w:pPr>
      <w:r>
        <w:t xml:space="preserve">Context snapshots build typed</w:t>
      </w:r>
      <w:r>
        <w:t xml:space="preserve"> </w:t>
      </w:r>
      <w:r>
        <w:rPr>
          <w:rStyle w:val="VerbatimChar"/>
        </w:rPr>
        <w:t xml:space="preserve">GraphSnapshot</w:t>
      </w:r>
      <w:r>
        <w:t xml:space="preserve"> </w:t>
      </w:r>
      <w:r>
        <w:t xml:space="preserve">graphs (nodes/edges), validated, then shown in operator graph views and optional graph-RAG expand.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Knowledge graph model" title="" id="225" name="Picture"/>
            <a:graphic>
              <a:graphicData uri="http://schemas.openxmlformats.org/drawingml/2006/picture">
                <pic:pic>
                  <pic:nvPicPr>
                    <pic:cNvPr descr="../architecture_diagrams/archlucid-knowledge-graph-model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model</w:t>
      </w:r>
    </w:p>
    <w:bookmarkEnd w:id="227"/>
    <w:bookmarkStart w:id="231" w:name="findings-taxonomy"/>
    <w:p>
      <w:pPr>
        <w:pStyle w:val="Heading1"/>
      </w:pPr>
      <w:r>
        <w:t xml:space="preserve">37. Findings taxonomy</w:t>
      </w:r>
    </w:p>
    <w:p>
      <w:pPr>
        <w:pStyle w:val="FirstParagraph"/>
      </w:pPr>
      <w:r>
        <w:t xml:space="preserve">Findings carry severity, category/theme, source stage, and optional policy rule ids linking into decision traces, digest rollups, and exports.</w:t>
      </w:r>
    </w:p>
    <w:p>
      <w:pPr>
        <w:pStyle w:val="CaptionedFigure"/>
      </w:pPr>
      <w:r>
        <w:drawing>
          <wp:inline>
            <wp:extent cx="5334000" cy="2190750"/>
            <wp:effectExtent b="0" l="0" r="0" t="0"/>
            <wp:docPr descr="Findings taxonomy" title="" id="229" name="Picture"/>
            <a:graphic>
              <a:graphicData uri="http://schemas.openxmlformats.org/drawingml/2006/picture">
                <pic:pic>
                  <pic:nvPicPr>
                    <pic:cNvPr descr="../architecture_diagrams/archlucid-findings-taxonomy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taxonomy</w:t>
      </w:r>
    </w:p>
    <w:bookmarkEnd w:id="231"/>
    <w:bookmarkStart w:id="235" w:name="artifact-generator-registry"/>
    <w:p>
      <w:pPr>
        <w:pStyle w:val="Heading1"/>
      </w:pPr>
      <w:r>
        <w:t xml:space="preserve">38. Artifact generator registry</w:t>
      </w:r>
    </w:p>
    <w:p>
      <w:pPr>
        <w:pStyle w:val="FirstParagraph"/>
      </w:pPr>
      <w:r>
        <w:rPr>
          <w:rStyle w:val="VerbatimChar"/>
        </w:rPr>
        <w:t xml:space="preserve">ArtifactSynthesisService</w:t>
      </w:r>
      <w:r>
        <w:t xml:space="preserve"> </w:t>
      </w:r>
      <w:r>
        <w:t xml:space="preserve">runs registered</w:t>
      </w:r>
      <w:r>
        <w:t xml:space="preserve"> </w:t>
      </w:r>
      <w:r>
        <w:rPr>
          <w:rStyle w:val="VerbatimChar"/>
        </w:rPr>
        <w:t xml:space="preserve">IArtifactGenerator</w:t>
      </w:r>
      <w:r>
        <w:t xml:space="preserve"> </w:t>
      </w:r>
      <w:r>
        <w:t xml:space="preserve">implementations into an</w:t>
      </w:r>
      <w:r>
        <w:t xml:space="preserve"> </w:t>
      </w:r>
      <w:r>
        <w:rPr>
          <w:rStyle w:val="VerbatimChar"/>
        </w:rPr>
        <w:t xml:space="preserve">ArtifactBundle</w:t>
      </w:r>
      <w:r>
        <w:t xml:space="preserve">, then packaging produces ZIP/DOCX downloads.</w:t>
      </w:r>
    </w:p>
    <w:p>
      <w:pPr>
        <w:pStyle w:val="CaptionedFigure"/>
      </w:pPr>
      <w:r>
        <w:drawing>
          <wp:inline>
            <wp:extent cx="5334000" cy="1068160"/>
            <wp:effectExtent b="0" l="0" r="0" t="0"/>
            <wp:docPr descr="Artifact generator registry" title="" id="233" name="Picture"/>
            <a:graphic>
              <a:graphicData uri="http://schemas.openxmlformats.org/drawingml/2006/picture">
                <pic:pic>
                  <pic:nvPicPr>
                    <pic:cNvPr descr="../architecture_diagrams/archlucid-artifact-generator-registry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generator registry</w:t>
      </w:r>
    </w:p>
    <w:bookmarkEnd w:id="235"/>
    <w:bookmarkStart w:id="239" w:name="comparison-types-catalog"/>
    <w:p>
      <w:pPr>
        <w:pStyle w:val="Heading1"/>
      </w:pPr>
      <w:r>
        <w:t xml:space="preserve">39. Comparison types catalog</w:t>
      </w:r>
    </w:p>
    <w:p>
      <w:pPr>
        <w:pStyle w:val="FirstParagraph"/>
      </w:pPr>
      <w:r>
        <w:t xml:space="preserve">Two primary persisted types: end-to-end run compare and export-record diff. Replay modes: artifact, regenerate, verify (drift).</w:t>
      </w:r>
    </w:p>
    <w:p>
      <w:pPr>
        <w:pStyle w:val="CaptionedFigure"/>
      </w:pPr>
      <w:r>
        <w:drawing>
          <wp:inline>
            <wp:extent cx="5334000" cy="4968400"/>
            <wp:effectExtent b="0" l="0" r="0" t="0"/>
            <wp:docPr descr="Comparison types catalog" title="" id="237" name="Picture"/>
            <a:graphic>
              <a:graphicData uri="http://schemas.openxmlformats.org/drawingml/2006/picture">
                <pic:pic>
                  <pic:nvPicPr>
                    <pic:cNvPr descr="../architecture_diagrams/archlucid-comparison-types-catalog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types catalog</w:t>
      </w:r>
    </w:p>
    <w:bookmarkEnd w:id="239"/>
    <w:bookmarkStart w:id="243" w:name="ask-thread-lifecycle"/>
    <w:p>
      <w:pPr>
        <w:pStyle w:val="Heading1"/>
      </w:pPr>
      <w:r>
        <w:t xml:space="preserve">40. Ask thread lifecycle</w:t>
      </w:r>
    </w:p>
    <w:p>
      <w:pPr>
        <w:pStyle w:val="FirstParagraph"/>
      </w:pPr>
      <w:r>
        <w:t xml:space="preserve">Scoped retrieve â†’ circuit breaker â†’ completion â†’ citations. Open breaker returns problem+json; answers should carry retrieved document ids for audit.</w:t>
      </w:r>
    </w:p>
    <w:p>
      <w:pPr>
        <w:pStyle w:val="CaptionedFigure"/>
      </w:pPr>
      <w:r>
        <w:drawing>
          <wp:inline>
            <wp:extent cx="5334000" cy="489857"/>
            <wp:effectExtent b="0" l="0" r="0" t="0"/>
            <wp:docPr descr="Ask thread lifecycle" title="" id="241" name="Picture"/>
            <a:graphic>
              <a:graphicData uri="http://schemas.openxmlformats.org/drawingml/2006/picture">
                <pic:pic>
                  <pic:nvPicPr>
                    <pic:cNvPr descr="../architecture_diagrams/archlucid-ask-thread-lifecycle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thread lifecycle</w:t>
      </w:r>
    </w:p>
    <w:bookmarkEnd w:id="243"/>
    <w:bookmarkStart w:id="247" w:name="worker-hosted-services-inventory"/>
    <w:p>
      <w:pPr>
        <w:pStyle w:val="Heading1"/>
      </w:pPr>
      <w:r>
        <w:t xml:space="preserve">41. Worker hosted-services inventory</w:t>
      </w:r>
    </w:p>
    <w:p>
      <w:pPr>
        <w:pStyle w:val="FirstParagraph"/>
      </w:pPr>
      <w:r>
        <w:t xml:space="preserve">Leader-elected hosted loops drain authority, retrieval, integration, advisory/digest, archival, and optional Cosmos graph outboxes.</w:t>
      </w:r>
    </w:p>
    <w:p>
      <w:pPr>
        <w:pStyle w:val="CaptionedFigure"/>
      </w:pPr>
      <w:r>
        <w:drawing>
          <wp:inline>
            <wp:extent cx="5334000" cy="1013732"/>
            <wp:effectExtent b="0" l="0" r="0" t="0"/>
            <wp:docPr descr="Hosted services inventory" title="" id="245" name="Picture"/>
            <a:graphic>
              <a:graphicData uri="http://schemas.openxmlformats.org/drawingml/2006/picture">
                <pic:pic>
                  <pic:nvPicPr>
                    <pic:cNvPr descr="../architecture_diagrams/archlucid-hosted-services-inventory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Hosted services inventory</w:t>
      </w:r>
    </w:p>
    <w:bookmarkEnd w:id="247"/>
    <w:bookmarkStart w:id="251" w:name="demo-and-public-surfaces"/>
    <w:p>
      <w:pPr>
        <w:pStyle w:val="Heading1"/>
      </w:pPr>
      <w:r>
        <w:t xml:space="preserve">42. Demo and public surfaces</w:t>
      </w:r>
    </w:p>
    <w:p>
      <w:pPr>
        <w:pStyle w:val="FirstParagraph"/>
      </w:pPr>
      <w:r>
        <w:t xml:space="preserve">Demo preview and sample-run endpoints use read-only demo bundles only â€” they must never bypass tenant catalog isolation. Demo seed uses expensive rate limiting.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Demo public surfaces" title="" id="249" name="Picture"/>
            <a:graphic>
              <a:graphicData uri="http://schemas.openxmlformats.org/drawingml/2006/picture">
                <pic:pic>
                  <pic:nvPicPr>
                    <pic:cNvPr descr="../architecture_diagrams/archlucid-demo-public-surfaces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 public surfaces</w:t>
      </w:r>
    </w:p>
    <w:bookmarkEnd w:id="251"/>
    <w:bookmarkStart w:id="255" w:name="cli-command-map"/>
    <w:p>
      <w:pPr>
        <w:pStyle w:val="Heading1"/>
      </w:pPr>
      <w:r>
        <w:t xml:space="preserve">43. CLI command map</w:t>
      </w:r>
    </w:p>
    <w:p>
      <w:pPr>
        <w:pStyle w:val="FirstParagraph"/>
      </w:pPr>
      <w:r>
        <w:rPr>
          <w:rStyle w:val="VerbatimChar"/>
        </w:rPr>
        <w:t xml:space="preserve">ArchLucid.Cli</w:t>
      </w:r>
      <w:r>
        <w:t xml:space="preserve"> </w:t>
      </w:r>
      <w:r>
        <w:t xml:space="preserve">covers project bootstrap, run lifecycle, artifacts, comparison replay/drift, and graph export (Mermaid/GraphML) against the HTTPS API.</w:t>
      </w:r>
    </w:p>
    <w:p>
      <w:pPr>
        <w:pStyle w:val="CaptionedFigure"/>
      </w:pPr>
      <w:r>
        <w:drawing>
          <wp:inline>
            <wp:extent cx="5334000" cy="4011283"/>
            <wp:effectExtent b="0" l="0" r="0" t="0"/>
            <wp:docPr descr="CLI command map" title="" id="253" name="Picture"/>
            <a:graphic>
              <a:graphicData uri="http://schemas.openxmlformats.org/drawingml/2006/picture">
                <pic:pic>
                  <pic:nvPicPr>
                    <pic:cNvPr descr="../architecture_diagrams/archlucid-cli-command-map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 command map</w:t>
      </w:r>
    </w:p>
    <w:bookmarkEnd w:id="255"/>
    <w:bookmarkStart w:id="259" w:name="terraform-root-apply-order"/>
    <w:p>
      <w:pPr>
        <w:pStyle w:val="Heading1"/>
      </w:pPr>
      <w:r>
        <w:t xml:space="preserve">44. Terraform root apply order</w:t>
      </w:r>
    </w:p>
    <w:p>
      <w:pPr>
        <w:pStyle w:val="FirstParagraph"/>
      </w:pPr>
      <w:r>
        <w:rPr>
          <w:rStyle w:val="VerbatimChar"/>
        </w:rPr>
        <w:t xml:space="preserve">terraform-pilot</w:t>
      </w:r>
      <w:r>
        <w:t xml:space="preserve"> </w:t>
      </w:r>
      <w:r>
        <w:t xml:space="preserve">is the operator entry profile; nested roots cover Container Apps, private networking, edge, monitoring, Entra, storage, optional ACR/SQL failover/OpenAI/Logic Apps. See</w:t>
      </w:r>
      <w:r>
        <w:t xml:space="preserve"> </w:t>
      </w:r>
      <w:r>
        <w:rPr>
          <w:rStyle w:val="VerbatimChar"/>
        </w:rPr>
        <w:t xml:space="preserve">REFERENCE_SAAS_STACK_ORDER</w:t>
      </w:r>
      <w:r>
        <w:t xml:space="preserve">.</w:t>
      </w:r>
    </w:p>
    <w:p>
      <w:pPr>
        <w:pStyle w:val="CaptionedFigure"/>
      </w:pPr>
      <w:r>
        <w:drawing>
          <wp:inline>
            <wp:extent cx="5334000" cy="1326696"/>
            <wp:effectExtent b="0" l="0" r="0" t="0"/>
            <wp:docPr descr="Terraform root order" title="" id="257" name="Picture"/>
            <a:graphic>
              <a:graphicData uri="http://schemas.openxmlformats.org/drawingml/2006/picture">
                <pic:pic>
                  <pic:nvPicPr>
                    <pic:cNvPr descr="../architecture_diagrams/archlucid-terraform-root-ord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Terraform root order</w:t>
      </w:r>
    </w:p>
    <w:bookmarkEnd w:id="259"/>
    <w:bookmarkStart w:id="263" w:name="llm-provider-adapters"/>
    <w:p>
      <w:pPr>
        <w:pStyle w:val="Heading1"/>
      </w:pPr>
      <w:r>
        <w:t xml:space="preserve">45. LLM provider adapters</w:t>
      </w:r>
    </w:p>
    <w:p>
      <w:pPr>
        <w:pStyle w:val="FirstParagraph"/>
      </w:pPr>
      <w:r>
        <w:t xml:space="preserve">Completions and embeddings are Azure OpenAIâ€“backed in V1 behind</w:t>
      </w:r>
      <w:r>
        <w:t xml:space="preserve"> </w:t>
      </w:r>
      <w:r>
        <w:rPr>
          <w:rStyle w:val="VerbatimChar"/>
        </w:rPr>
        <w:t xml:space="preserve">DefaultLlmProviderFactory</w:t>
      </w:r>
      <w:r>
        <w:t xml:space="preserve"> </w:t>
      </w:r>
      <w:r>
        <w:t xml:space="preserve">and a decorator stack (cache, circuit breaker, fallback, content safety). Non-Azure enum values remain scaffold-only (</w:t>
      </w:r>
      <w:r>
        <w:rPr>
          <w:rStyle w:val="VerbatimChar"/>
        </w:rPr>
        <w:t xml:space="preserve">NotSupportedException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5483678"/>
            <wp:effectExtent b="0" l="0" r="0" t="0"/>
            <wp:docPr descr="LLM provider adapters" title="" id="261" name="Picture"/>
            <a:graphic>
              <a:graphicData uri="http://schemas.openxmlformats.org/drawingml/2006/picture">
                <pic:pic>
                  <pic:nvPicPr>
                    <pic:cNvPr descr="../architecture_diagrams/archlucid-llm-provider-adapters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LLM provider adapters</w:t>
      </w:r>
    </w:p>
    <w:bookmarkEnd w:id="263"/>
    <w:bookmarkStart w:id="267" w:name="secrets-and-key-vault-resolution"/>
    <w:p>
      <w:pPr>
        <w:pStyle w:val="Heading1"/>
      </w:pPr>
      <w:r>
        <w:t xml:space="preserve">46. Secrets and Key Vault resolution</w:t>
      </w:r>
    </w:p>
    <w:p>
      <w:pPr>
        <w:pStyle w:val="FirstParagraph"/>
      </w:pPr>
      <w:r>
        <w:t xml:space="preserve">Runtime secrets resolve only through</w:t>
      </w:r>
      <w:r>
        <w:t xml:space="preserve"> </w:t>
      </w:r>
      <w:r>
        <w:rPr>
          <w:rStyle w:val="VerbatimChar"/>
        </w:rPr>
        <w:t xml:space="preserve">ISecretProvider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EnvironmentVariable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KeyVault</w:t>
      </w:r>
      <w:r>
        <w:t xml:space="preserve">, optionally composed). ITSM and Teams store Key Vault</w:t>
      </w:r>
      <w:r>
        <w:t xml:space="preserve"> </w:t>
      </w:r>
      <w:r>
        <w:rPr>
          <w:i/>
          <w:iCs/>
        </w:rPr>
        <w:t xml:space="preserve">secret names</w:t>
      </w:r>
      <w:r>
        <w:t xml:space="preserve">, not raw credentials; stack generation emits</w:t>
      </w:r>
      <w:r>
        <w:t xml:space="preserve"> </w:t>
      </w:r>
      <w:r>
        <w:rPr>
          <w:rStyle w:val="VerbatimChar"/>
        </w:rPr>
        <w:t xml:space="preserve">@Microsoft.KeyVault(...)</w:t>
      </w:r>
      <w:r>
        <w:t xml:space="preserve"> </w:t>
      </w:r>
      <w:r>
        <w:t xml:space="preserve">references for hosted pilots.</w:t>
      </w:r>
    </w:p>
    <w:p>
      <w:pPr>
        <w:pStyle w:val="CaptionedFigure"/>
      </w:pPr>
      <w:r>
        <w:drawing>
          <wp:inline>
            <wp:extent cx="5334000" cy="1047750"/>
            <wp:effectExtent b="0" l="0" r="0" t="0"/>
            <wp:docPr descr="Secrets Key Vault resolution" title="" id="265" name="Picture"/>
            <a:graphic>
              <a:graphicData uri="http://schemas.openxmlformats.org/drawingml/2006/picture">
                <pic:pic>
                  <pic:nvPicPr>
                    <pic:cNvPr descr="../architecture_diagrams/archlucid-secrets-keyvault-resolution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Secrets Key Vault resolution</w:t>
      </w:r>
    </w:p>
    <w:bookmarkEnd w:id="267"/>
    <w:bookmarkStart w:id="271" w:name="kill-switches-and-circuit-breakers"/>
    <w:p>
      <w:pPr>
        <w:pStyle w:val="Heading1"/>
      </w:pPr>
      <w:r>
        <w:t xml:space="preserve">47. Kill switches and circuit breakers</w:t>
      </w:r>
    </w:p>
    <w:p>
      <w:pPr>
        <w:pStyle w:val="FirstParagraph"/>
      </w:pPr>
      <w:r>
        <w:t xml:space="preserve">Operational levers are config-driven circuit breakers and GA/budget gatesâ€”not a general feature-flag plane. AOAI and content-safety breakers, Marketplace</w:t>
      </w:r>
      <w:r>
        <w:t xml:space="preserve"> </w:t>
      </w:r>
      <w:r>
        <w:rPr>
          <w:rStyle w:val="VerbatimChar"/>
        </w:rPr>
        <w:t xml:space="preserve">GaEnabled</w:t>
      </w:r>
      <w:r>
        <w:t xml:space="preserve">, and the golden-cohort spend kill band are the primary controls.</w:t>
      </w:r>
    </w:p>
    <w:p>
      <w:pPr>
        <w:pStyle w:val="CaptionedFigure"/>
      </w:pPr>
      <w:r>
        <w:drawing>
          <wp:inline>
            <wp:extent cx="5334000" cy="1279071"/>
            <wp:effectExtent b="0" l="0" r="0" t="0"/>
            <wp:docPr descr="Kill switches circuit breakers" title="" id="269" name="Picture"/>
            <a:graphic>
              <a:graphicData uri="http://schemas.openxmlformats.org/drawingml/2006/picture">
                <pic:pic>
                  <pic:nvPicPr>
                    <pic:cNvPr descr="../architecture_diagrams/archlucid-kill-switches-circuit-breakers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Kill switches circuit breakers</w:t>
      </w:r>
    </w:p>
    <w:bookmarkEnd w:id="271"/>
    <w:bookmarkStart w:id="275" w:name="outbound-webhook-delivery"/>
    <w:p>
      <w:pPr>
        <w:pStyle w:val="Heading1"/>
      </w:pPr>
      <w:r>
        <w:t xml:space="preserve">48. Outbound webhook delivery</w:t>
      </w:r>
    </w:p>
    <w:p>
      <w:pPr>
        <w:pStyle w:val="FirstParagraph"/>
      </w:pPr>
      <w:r>
        <w:t xml:space="preserve">Outbound customer delivery is dual-path: transactional integration-event outbox to Service Bus, and direct HMAC/CloudEvents HTTP posts via</w:t>
      </w:r>
      <w:r>
        <w:t xml:space="preserve"> </w:t>
      </w:r>
      <w:r>
        <w:rPr>
          <w:rStyle w:val="VerbatimChar"/>
        </w:rPr>
        <w:t xml:space="preserve">IWebhookPoster</w:t>
      </w:r>
      <w:r>
        <w:t xml:space="preserve">. Distinct from inbound webhook threat modeling.</w:t>
      </w:r>
    </w:p>
    <w:p>
      <w:pPr>
        <w:pStyle w:val="CaptionedFigure"/>
      </w:pPr>
      <w:r>
        <w:drawing>
          <wp:inline>
            <wp:extent cx="5334000" cy="1231446"/>
            <wp:effectExtent b="0" l="0" r="0" t="0"/>
            <wp:docPr descr="Outbound webhook delivery" title="" id="273" name="Picture"/>
            <a:graphic>
              <a:graphicData uri="http://schemas.openxmlformats.org/drawingml/2006/picture">
                <pic:pic>
                  <pic:nvPicPr>
                    <pic:cNvPr descr="../architecture_diagrams/archlucid-outbound-webhook-delivery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Outbound webhook delivery</w:t>
      </w:r>
    </w:p>
    <w:bookmarkEnd w:id="275"/>
    <w:bookmarkStart w:id="279" w:name="audit-event-catalog"/>
    <w:p>
      <w:pPr>
        <w:pStyle w:val="Heading1"/>
      </w:pPr>
      <w:r>
        <w:t xml:space="preserve">49. Audit event catalog</w:t>
      </w:r>
    </w:p>
    <w:p>
      <w:pPr>
        <w:pStyle w:val="FirstParagraph"/>
      </w:pPr>
      <w:r>
        <w:t xml:space="preserve">Durable operator and pipeline forensics centralize in</w:t>
      </w:r>
      <w:r>
        <w:t xml:space="preserve"> </w:t>
      </w:r>
      <w:r>
        <w:rPr>
          <w:rStyle w:val="VerbatimChar"/>
        </w:rPr>
        <w:t xml:space="preserve">AuditEventTypes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dbo.AuditEvents</w:t>
      </w:r>
      <w:r>
        <w:t xml:space="preserve">, spanning authority, governance, drafts, notifications, and product-learning signals, with hot-path list shapes and collision tests.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Audit event catalog" title="" id="277" name="Picture"/>
            <a:graphic>
              <a:graphicData uri="http://schemas.openxmlformats.org/drawingml/2006/picture">
                <pic:pic>
                  <pic:nvPicPr>
                    <pic:cNvPr descr="../architecture_diagrams/archlucid-audit-event-catalog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event catalog</w:t>
      </w:r>
    </w:p>
    <w:bookmarkEnd w:id="279"/>
    <w:bookmarkStart w:id="283" w:name="dbup-schema-migration"/>
    <w:p>
      <w:pPr>
        <w:pStyle w:val="Heading1"/>
      </w:pPr>
      <w:r>
        <w:t xml:space="preserve">50. DbUp schema migration</w:t>
      </w:r>
    </w:p>
    <w:p>
      <w:pPr>
        <w:pStyle w:val="FirstParagraph"/>
      </w:pPr>
      <w:r>
        <w:t xml:space="preserve">SQL evolution is DbUp-first (system vs tenant planes, greenfield baseline stamp, then embedded scripts), followed by consolidated</w:t>
      </w:r>
      <w:r>
        <w:t xml:space="preserve"> </w:t>
      </w:r>
      <w:r>
        <w:rPr>
          <w:rStyle w:val="VerbatimChar"/>
        </w:rPr>
        <w:t xml:space="preserve">ArchLucid.sql</w:t>
      </w:r>
      <w:r>
        <w:t xml:space="preserve"> </w:t>
      </w:r>
      <w:r>
        <w:t xml:space="preserve">bootstrap.</w:t>
      </w:r>
      <w:r>
        <w:t xml:space="preserve"> </w:t>
      </w:r>
      <w:r>
        <w:rPr>
          <w:rStyle w:val="VerbatimChar"/>
        </w:rPr>
        <w:t xml:space="preserve">MigrateVerify</w:t>
      </w:r>
      <w:r>
        <w:t xml:space="preserve"> </w:t>
      </w:r>
      <w:r>
        <w:t xml:space="preserve">sentinel checks close the verification loop.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DbUp schema migration" title="" id="281" name="Picture"/>
            <a:graphic>
              <a:graphicData uri="http://schemas.openxmlformats.org/drawingml/2006/picture">
                <pic:pic>
                  <pic:nvPicPr>
                    <pic:cNvPr descr="../architecture_diagrams/archlucid-dbup-schema-migration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DbUp schema migration</w:t>
      </w:r>
    </w:p>
    <w:bookmarkEnd w:id="283"/>
    <w:bookmarkStart w:id="287" w:name="cache-layers"/>
    <w:p>
      <w:pPr>
        <w:pStyle w:val="Heading1"/>
      </w:pPr>
      <w:r>
        <w:t xml:space="preserve">51. Cache layers</w:t>
      </w:r>
    </w:p>
    <w:p>
      <w:pPr>
        <w:pStyle w:val="FirstParagraph"/>
      </w:pPr>
      <w:r>
        <w:t xml:space="preserve">Caching is multi-plane: process</w:t>
      </w:r>
      <w:r>
        <w:t xml:space="preserve"> </w:t>
      </w:r>
      <w:r>
        <w:rPr>
          <w:rStyle w:val="VerbatimChar"/>
        </w:rPr>
        <w:t xml:space="preserve">IMemoryCache</w:t>
      </w:r>
      <w:r>
        <w:t xml:space="preserve">, optional Redis hot-path reads, LLM completion reuse, and graph snapshot projection cachesâ€”distinct from the hot-path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chapter.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ache layers" title="" id="285" name="Picture"/>
            <a:graphic>
              <a:graphicData uri="http://schemas.openxmlformats.org/drawingml/2006/picture">
                <pic:pic>
                  <pic:nvPicPr>
                    <pic:cNvPr descr="../architecture_diagrams/archlucid-cache-layers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Cache layers</w:t>
      </w:r>
    </w:p>
    <w:bookmarkEnd w:id="287"/>
    <w:bookmarkStart w:id="291" w:name="blob-content-addressed-layout"/>
    <w:p>
      <w:pPr>
        <w:pStyle w:val="Heading1"/>
      </w:pPr>
      <w:r>
        <w:t xml:space="preserve">52. Blob content-addressed layout</w:t>
      </w:r>
    </w:p>
    <w:p>
      <w:pPr>
        <w:pStyle w:val="FirstParagraph"/>
      </w:pPr>
      <w:r>
        <w:t xml:space="preserve">Artifact blobs are tenant-prefixed and scope-segmented, with an explicit content-addressed</w:t>
      </w:r>
      <w:r>
        <w:t xml:space="preserve"> </w:t>
      </w:r>
      <w:r>
        <w:rPr>
          <w:rStyle w:val="VerbatimChar"/>
        </w:rPr>
        <w:t xml:space="preserve">dedup/{sha256}</w:t>
      </w:r>
      <w:r>
        <w:t xml:space="preserve"> </w:t>
      </w:r>
      <w:r>
        <w:t xml:space="preserve">layout for reusable payloads and large-payload offload envelopes.</w:t>
      </w:r>
    </w:p>
    <w:p>
      <w:pPr>
        <w:pStyle w:val="CaptionedFigure"/>
      </w:pPr>
      <w:r>
        <w:drawing>
          <wp:inline>
            <wp:extent cx="5334000" cy="1809750"/>
            <wp:effectExtent b="0" l="0" r="0" t="0"/>
            <wp:docPr descr="Blob content-addressed layout" title="" id="289" name="Picture"/>
            <a:graphic>
              <a:graphicData uri="http://schemas.openxmlformats.org/drawingml/2006/picture">
                <pic:pic>
                  <pic:nvPicPr>
                    <pic:cNvPr descr="../architecture_diagrams/archlucid-blob-content-addressed-layout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Blob content-addressed layout</w:t>
      </w:r>
    </w:p>
    <w:bookmarkEnd w:id="291"/>
    <w:bookmarkStart w:id="295" w:name="notification-channel-matrix"/>
    <w:p>
      <w:pPr>
        <w:pStyle w:val="Heading1"/>
      </w:pPr>
      <w:r>
        <w:t xml:space="preserve">53. Notification channel matrix</w:t>
      </w:r>
    </w:p>
    <w:p>
      <w:pPr>
        <w:pStyle w:val="FirstParagraph"/>
      </w:pPr>
      <w:r>
        <w:t xml:space="preserve">Customer notifications are a preference matrix (email / Teams / outbound webhook) plus Teams trigger opt-in and email/Slack digest dispatchâ€”not only the weekly digests hub. Logic Apps filter Teams fan-out server-side.</w:t>
      </w:r>
    </w:p>
    <w:p>
      <w:pPr>
        <w:pStyle w:val="CaptionedFigure"/>
      </w:pPr>
      <w:r>
        <w:drawing>
          <wp:inline>
            <wp:extent cx="5334000" cy="1360714"/>
            <wp:effectExtent b="0" l="0" r="0" t="0"/>
            <wp:docPr descr="Notification channel matrix" title="" id="293" name="Picture"/>
            <a:graphic>
              <a:graphicData uri="http://schemas.openxmlformats.org/drawingml/2006/picture">
                <pic:pic>
                  <pic:nvPicPr>
                    <pic:cNvPr descr="../architecture_diagrams/archlucid-notification-channel-matrix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Notification channel matrix</w:t>
      </w:r>
    </w:p>
    <w:bookmarkEnd w:id="295"/>
    <w:bookmarkStart w:id="299" w:name="rate-limiting-and-throttling"/>
    <w:p>
      <w:pPr>
        <w:pStyle w:val="Heading1"/>
      </w:pPr>
      <w:r>
        <w:t xml:space="preserve">54. Rate limiting and throttling</w:t>
      </w:r>
    </w:p>
    <w:p>
      <w:pPr>
        <w:pStyle w:val="FirstParagraph"/>
      </w:pPr>
      <w:r>
        <w:t xml:space="preserve">ASP.NET rate policies gate fixed, expensive authority, replay, bulk evidence, OTP, and policy-pack dry-run surfaces with role/IP/tenant partitions. Quick Scan identity abuse is a separate admit gate that can also return rate-limited outcomes.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Rate limiting throttling" title="" id="297" name="Picture"/>
            <a:graphic>
              <a:graphicData uri="http://schemas.openxmlformats.org/drawingml/2006/picture">
                <pic:pic>
                  <pic:nvPicPr>
                    <pic:cNvPr descr="../architecture_diagrams/archlucid-rate-limiting-throttling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Rate limiting throttling</w:t>
      </w:r>
    </w:p>
    <w:bookmarkEnd w:id="299"/>
    <w:bookmarkStart w:id="303" w:name="private-link-network"/>
    <w:p>
      <w:pPr>
        <w:pStyle w:val="Heading1"/>
      </w:pPr>
      <w:r>
        <w:t xml:space="preserve">55. Private Link network</w:t>
      </w:r>
    </w:p>
    <w:p>
      <w:pPr>
        <w:pStyle w:val="FirstParagraph"/>
      </w:pPr>
      <w:r>
        <w:rPr>
          <w:rStyle w:val="VerbatimChar"/>
        </w:rPr>
        <w:t xml:space="preserve">infra/terraform-private</w:t>
      </w:r>
      <w:r>
        <w:t xml:space="preserve"> </w:t>
      </w:r>
      <w:r>
        <w:t xml:space="preserve">is the optional private data-plane root (VNet, PE subnet, SQL/Blob private endpoints and DNS), gated by</w:t>
      </w:r>
      <w:r>
        <w:t xml:space="preserve"> </w:t>
      </w:r>
      <w:r>
        <w:rPr>
          <w:rStyle w:val="VerbatimChar"/>
        </w:rPr>
        <w:t xml:space="preserve">enable_private_data_plane</w:t>
      </w:r>
      <w:r>
        <w:t xml:space="preserve">. Compute must VNet-integrate to reach</w:t>
      </w:r>
      <w:r>
        <w:t xml:space="preserve"> </w:t>
      </w:r>
      <w:r>
        <w:rPr>
          <w:rStyle w:val="VerbatimChar"/>
        </w:rPr>
        <w:t xml:space="preserve">privatelink.*</w:t>
      </w:r>
      <w:r>
        <w:t xml:space="preserve"> </w:t>
      </w:r>
      <w:r>
        <w:t xml:space="preserve">hostnames.</w:t>
      </w:r>
    </w:p>
    <w:p>
      <w:pPr>
        <w:pStyle w:val="CaptionedFigure"/>
      </w:pPr>
      <w:r>
        <w:drawing>
          <wp:inline>
            <wp:extent cx="5334000" cy="2741839"/>
            <wp:effectExtent b="0" l="0" r="0" t="0"/>
            <wp:docPr descr="Private Link network" title="" id="301" name="Picture"/>
            <a:graphic>
              <a:graphicData uri="http://schemas.openxmlformats.org/drawingml/2006/picture">
                <pic:pic>
                  <pic:nvPicPr>
                    <pic:cNvPr descr="../architecture_diagrams/archlucid-private-link-network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Private Link network</w:t>
      </w:r>
    </w:p>
    <w:bookmarkEnd w:id="303"/>
    <w:bookmarkStart w:id="307" w:name="container-deploy-units"/>
    <w:p>
      <w:pPr>
        <w:pStyle w:val="Heading1"/>
      </w:pPr>
      <w:r>
        <w:t xml:space="preserve">56. Container deploy units</w:t>
      </w:r>
    </w:p>
    <w:p>
      <w:pPr>
        <w:pStyle w:val="FirstParagraph"/>
      </w:pPr>
      <w:r>
        <w:t xml:space="preserve">One API Dockerfile publishes API, Worker, and Jobs CLI into a shared image; ACA revisions select entrypoints. The UI ships as a separate Next.js image. Pair with</w:t>
      </w:r>
      <w:r>
        <w:t xml:space="preserve"> </w:t>
      </w:r>
      <w:r>
        <w:rPr>
          <w:rStyle w:val="VerbatimChar"/>
        </w:rPr>
        <w:t xml:space="preserve">Hosting:Role</w:t>
      </w:r>
      <w:r>
        <w:t xml:space="preserve"> </w:t>
      </w:r>
      <w:r>
        <w:t xml:space="preserve">so deploy units are visible beyond Terraform boxes.</w:t>
      </w:r>
    </w:p>
    <w:p>
      <w:pPr>
        <w:pStyle w:val="CaptionedFigure"/>
      </w:pPr>
      <w:r>
        <w:drawing>
          <wp:inline>
            <wp:extent cx="5334000" cy="2129517"/>
            <wp:effectExtent b="0" l="0" r="0" t="0"/>
            <wp:docPr descr="Container deploy units" title="" id="305" name="Picture"/>
            <a:graphic>
              <a:graphicData uri="http://schemas.openxmlformats.org/drawingml/2006/picture">
                <pic:pic>
                  <pic:nvPicPr>
                    <pic:cNvPr descr="../architecture_diagrams/archlucid-container-deploy-units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deploy units</w:t>
      </w:r>
    </w:p>
    <w:bookmarkEnd w:id="307"/>
    <w:bookmarkStart w:id="311" w:name="ci-product-pipeline"/>
    <w:p>
      <w:pPr>
        <w:pStyle w:val="Heading1"/>
      </w:pPr>
      <w:r>
        <w:t xml:space="preserve">57. CI product pipeline</w:t>
      </w:r>
    </w:p>
    <w:p>
      <w:pPr>
        <w:pStyle w:val="FirstParagraph"/>
      </w:pPr>
      <w:r>
        <w:t xml:space="preserve">Product CI is a multi-lane DAG: secrets scan, path lanes, fast core, OpenAPI snapshots, prompt-injection regression, Terraform validates, then full regression shards. This chapter maps gate intent and blast radius, not every job name.</w:t>
      </w:r>
    </w:p>
    <w:p>
      <w:pPr>
        <w:pStyle w:val="CaptionedFigure"/>
      </w:pPr>
      <w:r>
        <w:drawing>
          <wp:inline>
            <wp:extent cx="5334000" cy="2435678"/>
            <wp:effectExtent b="0" l="0" r="0" t="0"/>
            <wp:docPr descr="CI product pipeline" title="" id="309" name="Picture"/>
            <a:graphic>
              <a:graphicData uri="http://schemas.openxmlformats.org/drawingml/2006/picture">
                <pic:pic>
                  <pic:nvPicPr>
                    <pic:cNvPr descr="../architecture_diagrams/archlucid-ci-product-pipeline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product pipeline</w:t>
      </w:r>
    </w:p>
    <w:bookmarkEnd w:id="311"/>
    <w:bookmarkStart w:id="315" w:name="golden-cohort-evaluation"/>
    <w:p>
      <w:pPr>
        <w:pStyle w:val="Heading1"/>
      </w:pPr>
      <w:r>
        <w:t xml:space="preserve">58. Golden cohort evaluation</w:t>
      </w:r>
    </w:p>
    <w:p>
      <w:pPr>
        <w:pStyle w:val="FirstParagraph"/>
      </w:pPr>
      <w:r>
        <w:t xml:space="preserve">The locked N=20 golden cohort JSON drives simulator drift automation and optional real-LLM nightly gates.</w:t>
      </w:r>
      <w:r>
        <w:t xml:space="preserve"> </w:t>
      </w:r>
      <w:r>
        <w:rPr>
          <w:rStyle w:val="VerbatimChar"/>
        </w:rPr>
        <w:t xml:space="preserve">GoldenCohortFineTuningPromotionGate</w:t>
      </w:r>
      <w:r>
        <w:t xml:space="preserve"> </w:t>
      </w:r>
      <w:r>
        <w:t xml:space="preserve">compares faithfulness support ratios before model promotionâ€”distinct from the agent-task simulator matrix.</w:t>
      </w:r>
    </w:p>
    <w:p>
      <w:pPr>
        <w:pStyle w:val="CaptionedFigure"/>
      </w:pPr>
      <w:r>
        <w:drawing>
          <wp:inline>
            <wp:extent cx="5334000" cy="612321"/>
            <wp:effectExtent b="0" l="0" r="0" t="0"/>
            <wp:docPr descr="Golden cohort eval" title="" id="313" name="Picture"/>
            <a:graphic>
              <a:graphicData uri="http://schemas.openxmlformats.org/drawingml/2006/picture">
                <pic:pic>
                  <pic:nvPicPr>
                    <pic:cNvPr descr="../architecture_diagrams/archlucid-golden-cohort-eval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cohort eval</w:t>
      </w:r>
    </w:p>
    <w:bookmarkEnd w:id="315"/>
    <w:bookmarkStart w:id="319" w:name="workspace-and-project-hierarchy"/>
    <w:p>
      <w:pPr>
        <w:pStyle w:val="Heading1"/>
      </w:pPr>
      <w:r>
        <w:t xml:space="preserve">59. Workspace and project hierarchy</w:t>
      </w:r>
    </w:p>
    <w:p>
      <w:pPr>
        <w:pStyle w:val="FirstParagraph"/>
      </w:pPr>
      <w:r>
        <w:t xml:space="preserve">Scope is a three-level hierarchy (tenant â†’ workspace â†’ project) enforced in SQL and ambient</w:t>
      </w:r>
      <w:r>
        <w:t xml:space="preserve"> </w:t>
      </w:r>
      <w:r>
        <w:rPr>
          <w:rStyle w:val="VerbatimChar"/>
        </w:rPr>
        <w:t xml:space="preserve">ScopeContext</w:t>
      </w:r>
      <w:r>
        <w:t xml:space="preserve">. Projects soft-delete via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/</w:t>
      </w:r>
      <w:r>
        <w:rPr>
          <w:rStyle w:val="VerbatimChar"/>
        </w:rPr>
        <w:t xml:space="preserve">DeletedUtc</w:t>
      </w:r>
      <w:r>
        <w:t xml:space="preserve"> </w:t>
      </w:r>
      <w:r>
        <w:t xml:space="preserve">with audit events and recycle restoreâ€”complementing tenant isolation without duplicating it.</w:t>
      </w:r>
    </w:p>
    <w:p>
      <w:pPr>
        <w:pStyle w:val="CaptionedFigure"/>
      </w:pPr>
      <w:r>
        <w:drawing>
          <wp:inline>
            <wp:extent cx="5334000" cy="5404415"/>
            <wp:effectExtent b="0" l="0" r="0" t="0"/>
            <wp:docPr descr="Workspace project hierarchy" title="" id="317" name="Picture"/>
            <a:graphic>
              <a:graphicData uri="http://schemas.openxmlformats.org/drawingml/2006/picture">
                <pic:pic>
                  <pic:nvPicPr>
                    <pic:cNvPr descr="../architecture_diagrams/archlucid-workspace-project-hierarchy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4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Workspace project hierarchy</w:t>
      </w:r>
    </w:p>
    <w:bookmarkEnd w:id="319"/>
    <w:bookmarkStart w:id="323" w:name="entra-role-claims"/>
    <w:p>
      <w:pPr>
        <w:pStyle w:val="Heading1"/>
      </w:pPr>
      <w:r>
        <w:t xml:space="preserve">60. Entra role claims</w:t>
      </w:r>
    </w:p>
    <w:p>
      <w:pPr>
        <w:pStyle w:val="FirstParagraph"/>
      </w:pPr>
      <w:r>
        <w:t xml:space="preserve">Entra (or generic OIDC) app roles and SAML attributes are normalized onto</w:t>
      </w:r>
      <w:r>
        <w:t xml:space="preserve"> </w:t>
      </w:r>
      <w:r>
        <w:rPr>
          <w:rStyle w:val="VerbatimChar"/>
        </w:rPr>
        <w:t xml:space="preserve">ArchLucidRoles</w:t>
      </w:r>
      <w:r>
        <w:t xml:space="preserve"> </w:t>
      </w:r>
      <w:r>
        <w:t xml:space="preserve">plus fine-grained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claims. This is the claim-transform path behind the authn-route matrixâ€”role sources, aliases, and diagnostics.</w:t>
      </w:r>
    </w:p>
    <w:p>
      <w:pPr>
        <w:pStyle w:val="CaptionedFigure"/>
      </w:pPr>
      <w:r>
        <w:drawing>
          <wp:inline>
            <wp:extent cx="5334000" cy="1177017"/>
            <wp:effectExtent b="0" l="0" r="0" t="0"/>
            <wp:docPr descr="Entra role claims" title="" id="321" name="Picture"/>
            <a:graphic>
              <a:graphicData uri="http://schemas.openxmlformats.org/drawingml/2006/picture">
                <pic:pic>
                  <pic:nvPicPr>
                    <pic:cNvPr descr="../architecture_diagrams/archlucid-entra-role-claims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Entra role claims</w:t>
      </w:r>
    </w:p>
    <w:bookmarkEnd w:id="323"/>
    <w:bookmarkStart w:id="327" w:name="correlation-and-tracing"/>
    <w:p>
      <w:pPr>
        <w:pStyle w:val="Heading1"/>
      </w:pPr>
      <w:r>
        <w:t xml:space="preserve">61. Correlation and tracing</w:t>
      </w:r>
    </w:p>
    <w:p>
      <w:pPr>
        <w:pStyle w:val="FirstParagraph"/>
      </w:pPr>
      <w:r>
        <w:t xml:space="preserve">Incoming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(validated) seeds request correlation; scope tags and Activity IDs flow into logs, audits, and outbox processors. Narrower than the observability map: end-to-end baggage from HTTP edge to worker activities.</w:t>
      </w:r>
    </w:p>
    <w:p>
      <w:pPr>
        <w:pStyle w:val="CaptionedFigure"/>
      </w:pPr>
      <w:r>
        <w:drawing>
          <wp:inline>
            <wp:extent cx="5334000" cy="1442357"/>
            <wp:effectExtent b="0" l="0" r="0" t="0"/>
            <wp:docPr descr="Correlation tracing" title="" id="325" name="Picture"/>
            <a:graphic>
              <a:graphicData uri="http://schemas.openxmlformats.org/drawingml/2006/picture">
                <pic:pic>
                  <pic:nvPicPr>
                    <pic:cNvPr descr="../architecture_diagrams/archlucid-correlation-tracing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tracing</w:t>
      </w:r>
    </w:p>
    <w:bookmarkEnd w:id="327"/>
    <w:bookmarkStart w:id="331" w:name="content-safety-ingress"/>
    <w:p>
      <w:pPr>
        <w:pStyle w:val="Heading1"/>
      </w:pPr>
      <w:r>
        <w:t xml:space="preserve">62. Content safety ingress</w:t>
      </w:r>
    </w:p>
    <w:p>
      <w:pPr>
        <w:pStyle w:val="FirstParagraph"/>
      </w:pPr>
      <w:r>
        <w:t xml:space="preserve">Ingress precheck on create-run, Azure AI Content Safety on completion I/O, evidence sanitizers, and prompt redaction form a layered trust boundary. Health probes and regression datasets make the posture diagrammable without claiming injection-proof.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Content safety ingress" title="" id="329" name="Picture"/>
            <a:graphic>
              <a:graphicData uri="http://schemas.openxmlformats.org/drawingml/2006/picture">
                <pic:pic>
                  <pic:nvPicPr>
                    <pic:cNvPr descr="../architecture_diagrams/archlucid-content-safety-ingress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safety ingress</w:t>
      </w:r>
    </w:p>
    <w:bookmarkEnd w:id="331"/>
    <w:bookmarkStart w:id="335" w:name="health-checks-catalog"/>
    <w:p>
      <w:pPr>
        <w:pStyle w:val="Heading1"/>
      </w:pPr>
      <w:r>
        <w:t xml:space="preserve">63. Health checks catalog</w:t>
      </w:r>
    </w:p>
    <w:p>
      <w:pPr>
        <w:pStyle w:val="FirstParagraph"/>
      </w:pPr>
      <w:r>
        <w:t xml:space="preserve">Liveness stays minimal; readiness and authenticated detailed surfaces register named checks (SQL, vector store, golden-manifest consistency, Content Safety, and more). Catalog which checks gate probes versus triage-only diagnostics.</w:t>
      </w:r>
    </w:p>
    <w:p>
      <w:pPr>
        <w:pStyle w:val="CaptionedFigure"/>
      </w:pPr>
      <w:r>
        <w:drawing>
          <wp:inline>
            <wp:extent cx="5334000" cy="932089"/>
            <wp:effectExtent b="0" l="0" r="0" t="0"/>
            <wp:docPr descr="Health checks catalog" title="" id="333" name="Picture"/>
            <a:graphic>
              <a:graphicData uri="http://schemas.openxmlformats.org/drawingml/2006/picture">
                <pic:pic>
                  <pic:nvPicPr>
                    <pic:cNvPr descr="../architecture_diagrams/archlucid-health-checks-catalog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checks catalog</w:t>
      </w:r>
    </w:p>
    <w:bookmarkEnd w:id="335"/>
    <w:bookmarkStart w:id="339" w:name="hosting-roles-split"/>
    <w:p>
      <w:pPr>
        <w:pStyle w:val="Heading1"/>
      </w:pPr>
      <w:r>
        <w:t xml:space="preserve">64. Hosting roles split</w:t>
      </w:r>
    </w:p>
    <w:p>
      <w:pPr>
        <w:pStyle w:val="FirstParagraph"/>
      </w:pPr>
      <w:r>
        <w:rPr>
          <w:rStyle w:val="VerbatimChar"/>
        </w:rPr>
        <w:t xml:space="preserve">Hosting:Role</w:t>
      </w:r>
      <w:r>
        <w:t xml:space="preserve"> </w:t>
      </w:r>
      <w:r>
        <w:t xml:space="preserve">selects Combined (default), Api (HTTP plus limited in-process work), or Worker (background loops, minimal health HTTP). Distinct from the hosted-services inventory (what loops exist) and azure-topology (where they run).</w:t>
      </w:r>
    </w:p>
    <w:p>
      <w:pPr>
        <w:pStyle w:val="CaptionedFigure"/>
      </w:pPr>
      <w:r>
        <w:drawing>
          <wp:inline>
            <wp:extent cx="5334000" cy="1843767"/>
            <wp:effectExtent b="0" l="0" r="0" t="0"/>
            <wp:docPr descr="Hosting roles split" title="" id="337" name="Picture"/>
            <a:graphic>
              <a:graphicData uri="http://schemas.openxmlformats.org/drawingml/2006/picture">
                <pic:pic>
                  <pic:nvPicPr>
                    <pic:cNvPr descr="../architecture_diagrams/archlucid-hosting-roles-split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Hosting roles split</w:t>
      </w:r>
    </w:p>
    <w:bookmarkEnd w:id="339"/>
    <w:bookmarkStart w:id="343" w:name="mutating-idempotency-keys"/>
    <w:p>
      <w:pPr>
        <w:pStyle w:val="Heading1"/>
      </w:pPr>
      <w:r>
        <w:t xml:space="preserve">65. Mutating idempotency keys</w:t>
      </w:r>
    </w:p>
    <w:p>
      <w:pPr>
        <w:pStyle w:val="FirstParagraph"/>
      </w:pPr>
      <w:r>
        <w:t xml:space="preserve">Client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is hashed and fingerprinted for create/commit (and required governance POSTs), with replay returning the same run/manifest without duplicate rows. The BFF forwards the header and surfaces</w:t>
      </w:r>
      <w:r>
        <w:t xml:space="preserve"> </w:t>
      </w:r>
      <w:r>
        <w:rPr>
          <w:rStyle w:val="VerbatimChar"/>
        </w:rPr>
        <w:t xml:space="preserve">X-Idempotency-Replayed</w:t>
      </w:r>
      <w:r>
        <w:t xml:space="preserve">.</w:t>
      </w:r>
    </w:p>
    <w:p>
      <w:pPr>
        <w:pStyle w:val="CaptionedFigure"/>
      </w:pPr>
      <w:r>
        <w:drawing>
          <wp:inline>
            <wp:extent cx="5334000" cy="1524000"/>
            <wp:effectExtent b="0" l="0" r="0" t="0"/>
            <wp:docPr descr="Mutating idempotency keys" title="" id="341" name="Picture"/>
            <a:graphic>
              <a:graphicData uri="http://schemas.openxmlformats.org/drawingml/2006/picture">
                <pic:pic>
                  <pic:nvPicPr>
                    <pic:cNvPr descr="../architecture_diagrams/archlucid-mutating-idempotency-keys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Mutating idempotency keys</w:t>
      </w:r>
    </w:p>
    <w:bookmarkEnd w:id="343"/>
    <w:bookmarkStart w:id="347" w:name="soft-delete-retention-purge"/>
    <w:p>
      <w:pPr>
        <w:pStyle w:val="Heading1"/>
      </w:pPr>
      <w:r>
        <w:t xml:space="preserve">66. Soft-delete retention purge</w:t>
      </w:r>
    </w:p>
    <w:p>
      <w:pPr>
        <w:pStyle w:val="FirstParagraph"/>
      </w:pPr>
      <w:r>
        <w:t xml:space="preserve">Projects soft-delete via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/</w:t>
      </w:r>
      <w:r>
        <w:rPr>
          <w:rStyle w:val="VerbatimChar"/>
        </w:rPr>
        <w:t xml:space="preserve">DeletedUtc</w:t>
      </w:r>
      <w:r>
        <w:t xml:space="preserve">, then a hosted worker hard-deletes rows past retention days. SQL vs in-memory registrars swap real purge vs no-op so local hosts never hard-delete.</w:t>
      </w:r>
    </w:p>
    <w:p>
      <w:pPr>
        <w:pStyle w:val="CaptionedFigure"/>
      </w:pPr>
      <w:r>
        <w:drawing>
          <wp:inline>
            <wp:extent cx="5334000" cy="3844017"/>
            <wp:effectExtent b="0" l="0" r="0" t="0"/>
            <wp:docPr descr="Soft-delete retention purge" title="" id="345" name="Picture"/>
            <a:graphic>
              <a:graphicData uri="http://schemas.openxmlformats.org/drawingml/2006/picture">
                <pic:pic>
                  <pic:nvPicPr>
                    <pic:cNvPr descr="../architecture_diagrams/archlucid-soft-delete-retention-purge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Soft-delete retention purge</w:t>
      </w:r>
    </w:p>
    <w:bookmarkEnd w:id="347"/>
    <w:bookmarkStart w:id="351" w:name="manifest-commit-segregation-of-duties"/>
    <w:p>
      <w:pPr>
        <w:pStyle w:val="Heading1"/>
      </w:pPr>
      <w:r>
        <w:t xml:space="preserve">67. Manifest commit segregation of duties</w:t>
      </w:r>
    </w:p>
    <w:p>
      <w:pPr>
        <w:pStyle w:val="FirstParagraph"/>
      </w:pPr>
      <w:r>
        <w:t xml:space="preserve">Finalize runs through an optional pre-commit gate plus SoD that compares Entra-oid actor keys (not display names), blocking self-approval. This is submitterâ‰ approver on approval requestsâ€”not a blanket â€œevery pack blocks commitâ€ rule.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Manifest commit SoD" title="" id="349" name="Picture"/>
            <a:graphic>
              <a:graphicData uri="http://schemas.openxmlformats.org/drawingml/2006/picture">
                <pic:pic>
                  <pic:nvPicPr>
                    <pic:cNvPr descr="../architecture_diagrams/archlucid-manifest-commit-sod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Manifest commit SoD</w:t>
      </w:r>
    </w:p>
    <w:bookmarkEnd w:id="351"/>
    <w:bookmarkStart w:id="355" w:name="export-package-formats"/>
    <w:p>
      <w:pPr>
        <w:pStyle w:val="Heading1"/>
      </w:pPr>
      <w:r>
        <w:t xml:space="preserve">68. Export package formats</w:t>
      </w:r>
    </w:p>
    <w:p>
      <w:pPr>
        <w:pStyle w:val="FirstParagraph"/>
      </w:pPr>
      <w:r>
        <w:t xml:space="preserve">Board exports are format-switched (DOCX/PDF/HTML) while run packages assemble authority material plus a hashed export manifest via packaging. Async blob push reuses the same builder, distinct from replay/compare flows.</w:t>
      </w:r>
    </w:p>
    <w:p>
      <w:pPr>
        <w:pStyle w:val="CaptionedFigure"/>
      </w:pPr>
      <w:r>
        <w:drawing>
          <wp:inline>
            <wp:extent cx="5334000" cy="830035"/>
            <wp:effectExtent b="0" l="0" r="0" t="0"/>
            <wp:docPr descr="Export package formats" title="" id="353" name="Picture"/>
            <a:graphic>
              <a:graphicData uri="http://schemas.openxmlformats.org/drawingml/2006/picture">
                <pic:pic>
                  <pic:nvPicPr>
                    <pic:cNvPr descr="../architecture_diagrams/archlucid-export-package-formats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package formats</w:t>
      </w:r>
    </w:p>
    <w:bookmarkEnd w:id="355"/>
    <w:bookmarkStart w:id="359" w:name="openapi-audience-versioning"/>
    <w:p>
      <w:pPr>
        <w:pStyle w:val="Heading1"/>
      </w:pPr>
      <w:r>
        <w:t xml:space="preserve">69. OpenAPI audience versioning</w:t>
      </w:r>
    </w:p>
    <w:p>
      <w:pPr>
        <w:pStyle w:val="FirstParagraph"/>
      </w:pPr>
      <w:r>
        <w:t xml:space="preserve">The public surface is ASP.NET API versioned at 1.0 and partitioned with</w:t>
      </w:r>
      <w:r>
        <w:t xml:space="preserve"> </w:t>
      </w:r>
      <w:r>
        <w:rPr>
          <w:rStyle w:val="VerbatimChar"/>
        </w:rPr>
        <w:t xml:space="preserve">x-archlucid-audience</w:t>
      </w:r>
      <w:r>
        <w:t xml:space="preserve"> </w:t>
      </w:r>
      <w:r>
        <w:t xml:space="preserve">for buyer, operator, internal, and forensics docs. Transformers keep generated clients honest for auth and multipart evidence.</w:t>
      </w:r>
    </w:p>
    <w:p>
      <w:pPr>
        <w:pStyle w:val="CaptionedFigure"/>
      </w:pPr>
      <w:r>
        <w:drawing>
          <wp:inline>
            <wp:extent cx="5334000" cy="2827159"/>
            <wp:effectExtent b="0" l="0" r="0" t="0"/>
            <wp:docPr descr="OpenAPI audience versioning" title="" id="357" name="Picture"/>
            <a:graphic>
              <a:graphicData uri="http://schemas.openxmlformats.org/drawingml/2006/picture">
                <pic:pic>
                  <pic:nvPicPr>
                    <pic:cNvPr descr="../architecture_diagrams/archlucid-openapi-audience-versioning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OpenAPI audience versioning</w:t>
      </w:r>
    </w:p>
    <w:bookmarkEnd w:id="359"/>
    <w:bookmarkStart w:id="363" w:name="sql-open-resilience"/>
    <w:p>
      <w:pPr>
        <w:pStyle w:val="Heading1"/>
      </w:pPr>
      <w:r>
        <w:t xml:space="preserve">70. SQL open resilience</w:t>
      </w:r>
    </w:p>
    <w:p>
      <w:pPr>
        <w:pStyle w:val="FirstParagraph"/>
      </w:pPr>
      <w:r>
        <w:t xml:space="preserve">Transient SQL open/operation failures use Polly v8 exponential backoff with jitter, separate from product kill-switches. Read-replica and audit paths share the same transient detector so brownouts degrade to retries rather than silent partial writes.</w:t>
      </w:r>
    </w:p>
    <w:p>
      <w:pPr>
        <w:pStyle w:val="CaptionedFigure"/>
      </w:pPr>
      <w:r>
        <w:drawing>
          <wp:inline>
            <wp:extent cx="5334000" cy="1558017"/>
            <wp:effectExtent b="0" l="0" r="0" t="0"/>
            <wp:docPr descr="SQL open resilience" title="" id="361" name="Picture"/>
            <a:graphic>
              <a:graphicData uri="http://schemas.openxmlformats.org/drawingml/2006/picture">
                <pic:pic>
                  <pic:nvPicPr>
                    <pic:cNvPr descr="../architecture_diagrams/archlucid-sql-open-resilience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SQL open resilience</w:t>
      </w:r>
    </w:p>
    <w:bookmarkEnd w:id="363"/>
    <w:bookmarkStart w:id="367" w:name="billing-provider-adapters"/>
    <w:p>
      <w:pPr>
        <w:pStyle w:val="Heading1"/>
      </w:pPr>
      <w:r>
        <w:t xml:space="preserve">71. Billing provider adapters</w:t>
      </w:r>
    </w:p>
    <w:p>
      <w:pPr>
        <w:pStyle w:val="FirstParagraph"/>
      </w:pPr>
      <w:r>
        <w:rPr>
          <w:rStyle w:val="VerbatimChar"/>
        </w:rPr>
        <w:t xml:space="preserve">Billing:Provider</w:t>
      </w:r>
      <w:r>
        <w:t xml:space="preserve"> </w:t>
      </w:r>
      <w:r>
        <w:t xml:space="preserve">selects Stripe, Azure Marketplace, or no-op through one registry used by checkout/portal. Marketplace ChangePlan/ChangeQuantity can 202-ack without mutating when</w:t>
      </w:r>
      <w:r>
        <w:t xml:space="preserve"> </w:t>
      </w:r>
      <w:r>
        <w:rPr>
          <w:rStyle w:val="VerbatimChar"/>
        </w:rPr>
        <w:t xml:space="preserve">GaEnabled</w:t>
      </w:r>
      <w:r>
        <w:t xml:space="preserve"> </w:t>
      </w:r>
      <w:r>
        <w:t xml:space="preserve">is false.</w:t>
      </w:r>
    </w:p>
    <w:p>
      <w:pPr>
        <w:pStyle w:val="CaptionedFigure"/>
      </w:pPr>
      <w:r>
        <w:drawing>
          <wp:inline>
            <wp:extent cx="5334000" cy="2986767"/>
            <wp:effectExtent b="0" l="0" r="0" t="0"/>
            <wp:docPr descr="Billing provider adapters" title="" id="365" name="Picture"/>
            <a:graphic>
              <a:graphicData uri="http://schemas.openxmlformats.org/drawingml/2006/picture">
                <pic:pic>
                  <pic:nvPicPr>
                    <pic:cNvPr descr="../architecture_diagrams/archlucid-billing-provider-adapters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provider adapters</w:t>
      </w:r>
    </w:p>
    <w:bookmarkEnd w:id="367"/>
    <w:bookmarkStart w:id="371" w:name="ui-bff-proxy-session"/>
    <w:p>
      <w:pPr>
        <w:pStyle w:val="Heading1"/>
      </w:pPr>
      <w:r>
        <w:t xml:space="preserve">72. UI BFF proxy session</w:t>
      </w:r>
    </w:p>
    <w:p>
      <w:pPr>
        <w:pStyle w:val="FirstParagraph"/>
      </w:pPr>
      <w:r>
        <w:t xml:space="preserve">OIDC tokens live in browser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; the Next BFF proxy attaches Authorization or server API key and scope headers to ArchLucid.Api. Marketing paths strip privileged upstream auth so anonymous funnels never inherit operator credentials.</w:t>
      </w:r>
    </w:p>
    <w:p>
      <w:pPr>
        <w:pStyle w:val="CaptionedFigure"/>
      </w:pPr>
      <w:r>
        <w:drawing>
          <wp:inline>
            <wp:extent cx="5334000" cy="3211285"/>
            <wp:effectExtent b="0" l="0" r="0" t="0"/>
            <wp:docPr descr="UI BFF proxy session" title="" id="369" name="Picture"/>
            <a:graphic>
              <a:graphicData uri="http://schemas.openxmlformats.org/drawingml/2006/picture">
                <pic:pic>
                  <pic:nvPicPr>
                    <pic:cNvPr descr="../architecture_diagrams/archlucid-ui-bff-proxy-session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UI BFF proxy session</w:t>
      </w:r>
    </w:p>
    <w:bookmarkEnd w:id="371"/>
    <w:bookmarkStart w:id="375" w:name="agent-allowed-tools-dispatch"/>
    <w:p>
      <w:pPr>
        <w:pStyle w:val="Heading1"/>
      </w:pPr>
      <w:r>
        <w:t xml:space="preserve">73. Agent allowed-tools dispatch</w:t>
      </w:r>
    </w:p>
    <w:p>
      <w:pPr>
        <w:pStyle w:val="FirstParagraph"/>
      </w:pPr>
      <w:r>
        <w:t xml:space="preserve">Handler dispatch is gated by per-task allowlists; production-like hosts deny empty allowlists unless</w:t>
      </w:r>
      <w:r>
        <w:t xml:space="preserve"> </w:t>
      </w:r>
      <w:r>
        <w:rPr>
          <w:rStyle w:val="VerbatimChar"/>
        </w:rPr>
        <w:t xml:space="preserve">UnrestrictedDispatch</w:t>
      </w:r>
      <w:r>
        <w:t xml:space="preserve"> </w:t>
      </w:r>
      <w:r>
        <w:t xml:space="preserve">is explicit. Invocations are persisted so run queries can audit which tools actually ran.</w:t>
      </w:r>
    </w:p>
    <w:p>
      <w:pPr>
        <w:pStyle w:val="CaptionedFigure"/>
      </w:pPr>
      <w:r>
        <w:drawing>
          <wp:inline>
            <wp:extent cx="5334000" cy="3510116"/>
            <wp:effectExtent b="0" l="0" r="0" t="0"/>
            <wp:docPr descr="Agent allowed-tools dispatch" title="" id="373" name="Picture"/>
            <a:graphic>
              <a:graphicData uri="http://schemas.openxmlformats.org/drawingml/2006/picture">
                <pic:pic>
                  <pic:nvPicPr>
                    <pic:cNvPr descr="../architecture_diagrams/archlucid-agent-allowed-tools-dispatch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allowed-tools dispatch</w:t>
      </w:r>
    </w:p>
    <w:bookmarkEnd w:id="375"/>
    <w:bookmarkStart w:id="379" w:name="technology-ledger-lifecycle"/>
    <w:p>
      <w:pPr>
        <w:pStyle w:val="Heading1"/>
      </w:pPr>
      <w:r>
        <w:t xml:space="preserve">74. Technology ledger lifecycle</w:t>
      </w:r>
    </w:p>
    <w:p>
      <w:pPr>
        <w:pStyle w:val="FirstParagraph"/>
      </w:pPr>
      <w:r>
        <w:t xml:space="preserve">Run-scoped technology ledger entries are seeded from request/evidence/topology, then patched through a command service and replayed with authority state. A first-class evidence/decision surface beyond findings taxonomy or golden-manifest anatomy.</w:t>
      </w:r>
    </w:p>
    <w:p>
      <w:pPr>
        <w:pStyle w:val="CaptionedFigure"/>
      </w:pPr>
      <w:r>
        <w:drawing>
          <wp:inline>
            <wp:extent cx="5334000" cy="1095375"/>
            <wp:effectExtent b="0" l="0" r="0" t="0"/>
            <wp:docPr descr="Technology ledger lifecycle" title="" id="377" name="Picture"/>
            <a:graphic>
              <a:graphicData uri="http://schemas.openxmlformats.org/drawingml/2006/picture">
                <pic:pic>
                  <pic:nvPicPr>
                    <pic:cNvPr descr="../architecture_diagrams/archlucid-technology-ledger-lifecycle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Technology ledger lifecycle</w:t>
      </w:r>
    </w:p>
    <w:bookmarkEnd w:id="379"/>
    <w:bookmarkStart w:id="380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2026.08.06i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Security reviewer audience pack (tenancy through compliance honesty) + generate/release</w:t>
            </w:r>
            <w:r>
              <w:t xml:space="preserve"> </w:t>
            </w:r>
            <w:r>
              <w:rPr>
                <w:rStyle w:val="VerbatimChar"/>
              </w:rPr>
              <w:t xml:space="preserve">-Pack Security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2026.08.06h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7: idempotency, retention purge, commit SoD, export formats, OpenAPI audiences, SQL resilience, billing adapters, BFF session, agent tools, technology ledger.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2026.08.06g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6: Private Link, container deploy units, CI pipeline, golden cohort, workspace hierarchy, Entra claims, correlation, content safety, health checks, hosting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2026.08.06f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5: LLM adapters, Key Vault secrets, kill switches, outbound webhooks, audit catalog, DbUp migration, cache layers, blob CAS layout, notification channels, rate limiting.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2026.08.06e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4: cloud extractors, knowledge graph, findings taxonomy, artifact registry, comparison catalog, Ask lifecycle, hosted services, demo surfaces, CLI map, Terraform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2026.08.06d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3: intake through agent-task/simulator.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2026.08.06c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2: ER through API heatmap + release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spine + stages/threats/buyer/drift.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chapters 00â€“12 + 99.</w:t>
            </w:r>
          </w:p>
        </w:tc>
      </w:tr>
    </w:tbl>
    <w:bookmarkEnd w:id="380"/>
    <w:bookmarkStart w:id="38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3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2" Target="media/rId372.png" /><Relationship Type="http://schemas.openxmlformats.org/officeDocument/2006/relationships/image" Id="rId216" Target="media/rId216.png" /><Relationship Type="http://schemas.openxmlformats.org/officeDocument/2006/relationships/image" Id="rId176" Target="media/rId176.png" /><Relationship Type="http://schemas.openxmlformats.org/officeDocument/2006/relationships/image" Id="rId232" Target="media/rId232.png" /><Relationship Type="http://schemas.openxmlformats.org/officeDocument/2006/relationships/image" Id="rId85" Target="media/rId85.png" /><Relationship Type="http://schemas.openxmlformats.org/officeDocument/2006/relationships/image" Id="rId240" Target="media/rId240.png" /><Relationship Type="http://schemas.openxmlformats.org/officeDocument/2006/relationships/image" Id="rId41" Target="media/rId41.png" /><Relationship Type="http://schemas.openxmlformats.org/officeDocument/2006/relationships/image" Id="rId276" Target="media/rId276.png" /><Relationship Type="http://schemas.openxmlformats.org/officeDocument/2006/relationships/image" Id="rId152" Target="media/rId15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364" Target="media/rId364.png" /><Relationship Type="http://schemas.openxmlformats.org/officeDocument/2006/relationships/image" Id="rId192" Target="media/rId192.png" /><Relationship Type="http://schemas.openxmlformats.org/officeDocument/2006/relationships/image" Id="rId288" Target="media/rId288.png" /><Relationship Type="http://schemas.openxmlformats.org/officeDocument/2006/relationships/image" Id="rId284" Target="media/rId284.png" /><Relationship Type="http://schemas.openxmlformats.org/officeDocument/2006/relationships/image" Id="rId308" Target="media/rId308.png" /><Relationship Type="http://schemas.openxmlformats.org/officeDocument/2006/relationships/image" Id="rId252" Target="media/rId252.png" /><Relationship Type="http://schemas.openxmlformats.org/officeDocument/2006/relationships/image" Id="rId220" Target="media/rId220.png" /><Relationship Type="http://schemas.openxmlformats.org/officeDocument/2006/relationships/image" Id="rId81" Target="media/rId81.png" /><Relationship Type="http://schemas.openxmlformats.org/officeDocument/2006/relationships/image" Id="rId236" Target="media/rId236.png" /><Relationship Type="http://schemas.openxmlformats.org/officeDocument/2006/relationships/image" Id="rId212" Target="media/rId212.png" /><Relationship Type="http://schemas.openxmlformats.org/officeDocument/2006/relationships/image" Id="rId148" Target="media/rId148.png" /><Relationship Type="http://schemas.openxmlformats.org/officeDocument/2006/relationships/image" Id="rId304" Target="media/rId304.png" /><Relationship Type="http://schemas.openxmlformats.org/officeDocument/2006/relationships/image" Id="rId328" Target="media/rId328.png" /><Relationship Type="http://schemas.openxmlformats.org/officeDocument/2006/relationships/image" Id="rId324" Target="media/rId324.png" /><Relationship Type="http://schemas.openxmlformats.org/officeDocument/2006/relationships/image" Id="rId144" Target="media/rId144.png" /><Relationship Type="http://schemas.openxmlformats.org/officeDocument/2006/relationships/image" Id="rId280" Target="media/rId280.png" /><Relationship Type="http://schemas.openxmlformats.org/officeDocument/2006/relationships/image" Id="rId188" Target="media/rId188.png" /><Relationship Type="http://schemas.openxmlformats.org/officeDocument/2006/relationships/image" Id="rId248" Target="media/rId248.png" /><Relationship Type="http://schemas.openxmlformats.org/officeDocument/2006/relationships/image" Id="rId200" Target="media/rId200.png" /><Relationship Type="http://schemas.openxmlformats.org/officeDocument/2006/relationships/image" Id="rId67" Target="media/rId67.png" /><Relationship Type="http://schemas.openxmlformats.org/officeDocument/2006/relationships/image" Id="rId168" Target="media/rId168.png" /><Relationship Type="http://schemas.openxmlformats.org/officeDocument/2006/relationships/image" Id="rId320" Target="media/rId320.png" /><Relationship Type="http://schemas.openxmlformats.org/officeDocument/2006/relationships/image" Id="rId180" Target="media/rId180.png" /><Relationship Type="http://schemas.openxmlformats.org/officeDocument/2006/relationships/image" Id="rId352" Target="media/rId352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228" Target="media/rId228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312" Target="media/rId312.png" /><Relationship Type="http://schemas.openxmlformats.org/officeDocument/2006/relationships/image" Id="rId184" Target="media/rId184.png" /><Relationship Type="http://schemas.openxmlformats.org/officeDocument/2006/relationships/image" Id="rId47" Target="media/rId47.png" /><Relationship Type="http://schemas.openxmlformats.org/officeDocument/2006/relationships/image" Id="rId332" Target="media/rId332.png" /><Relationship Type="http://schemas.openxmlformats.org/officeDocument/2006/relationships/image" Id="rId244" Target="media/rId244.png" /><Relationship Type="http://schemas.openxmlformats.org/officeDocument/2006/relationships/image" Id="rId336" Target="media/rId336.png" /><Relationship Type="http://schemas.openxmlformats.org/officeDocument/2006/relationships/image" Id="rId204" Target="media/rId204.png" /><Relationship Type="http://schemas.openxmlformats.org/officeDocument/2006/relationships/image" Id="rId93" Target="media/rId93.png" /><Relationship Type="http://schemas.openxmlformats.org/officeDocument/2006/relationships/image" Id="rId268" Target="media/rId268.png" /><Relationship Type="http://schemas.openxmlformats.org/officeDocument/2006/relationships/image" Id="rId224" Target="media/rId224.png" /><Relationship Type="http://schemas.openxmlformats.org/officeDocument/2006/relationships/image" Id="rId260" Target="media/rId260.png" /><Relationship Type="http://schemas.openxmlformats.org/officeDocument/2006/relationships/image" Id="rId348" Target="media/rId348.png" /><Relationship Type="http://schemas.openxmlformats.org/officeDocument/2006/relationships/image" Id="rId340" Target="media/rId340.png" /><Relationship Type="http://schemas.openxmlformats.org/officeDocument/2006/relationships/image" Id="rId292" Target="media/rId292.png" /><Relationship Type="http://schemas.openxmlformats.org/officeDocument/2006/relationships/image" Id="rId164" Target="media/rId164.png" /><Relationship Type="http://schemas.openxmlformats.org/officeDocument/2006/relationships/image" Id="rId356" Target="media/rId356.png" /><Relationship Type="http://schemas.openxmlformats.org/officeDocument/2006/relationships/image" Id="rId72" Target="media/rId72.png" /><Relationship Type="http://schemas.openxmlformats.org/officeDocument/2006/relationships/image" Id="rId272" Target="media/rId272.png" /><Relationship Type="http://schemas.openxmlformats.org/officeDocument/2006/relationships/image" Id="rId156" Target="media/rId156.png" /><Relationship Type="http://schemas.openxmlformats.org/officeDocument/2006/relationships/image" Id="rId172" Target="media/rId172.png" /><Relationship Type="http://schemas.openxmlformats.org/officeDocument/2006/relationships/image" Id="rId300" Target="media/rId300.png" /><Relationship Type="http://schemas.openxmlformats.org/officeDocument/2006/relationships/image" Id="rId296" Target="media/rId296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196" Target="media/rId196.png" /><Relationship Type="http://schemas.openxmlformats.org/officeDocument/2006/relationships/image" Id="rId264" Target="media/rId264.png" /><Relationship Type="http://schemas.openxmlformats.org/officeDocument/2006/relationships/image" Id="rId62" Target="media/rId62.png" /><Relationship Type="http://schemas.openxmlformats.org/officeDocument/2006/relationships/image" Id="rId344" Target="media/rId344.png" /><Relationship Type="http://schemas.openxmlformats.org/officeDocument/2006/relationships/image" Id="rId360" Target="media/rId360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208" Target="media/rId208.png" /><Relationship Type="http://schemas.openxmlformats.org/officeDocument/2006/relationships/image" Id="rId15" Target="media/rId15.png" /><Relationship Type="http://schemas.openxmlformats.org/officeDocument/2006/relationships/image" Id="rId376" Target="media/rId376.png" /><Relationship Type="http://schemas.openxmlformats.org/officeDocument/2006/relationships/image" Id="rId52" Target="media/rId52.png" /><Relationship Type="http://schemas.openxmlformats.org/officeDocument/2006/relationships/image" Id="rId256" Target="media/rId256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68" Target="media/rId368.png" /><Relationship Type="http://schemas.openxmlformats.org/officeDocument/2006/relationships/image" Id="rId316" Target="media/rId3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2026-08-06T22:04:10Z</dcterms:created>
  <dcterms:modified xsi:type="dcterms:W3CDTF">2026-08-06T22:04:10Z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