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16.png" ContentType="image/png"/>
  <Override PartName="/word/media/rId28.png" ContentType="image/png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buyer trust and topology pack”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2026.08.06c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2" w:name="X68aadd50e4e093a205474dbeadac6d86a9480db"/>
    <w:p>
      <w:pPr>
        <w:pStyle w:val="Heading1"/>
      </w:pPr>
      <w:r>
        <w:t xml:space="preserve">Buyer front matter â€” ArchLucid platform architecture (excerpt)</w:t>
      </w:r>
    </w:p>
    <w:p>
      <w:pPr>
        <w:pStyle w:val="FirstParagraph"/>
      </w:pPr>
      <w:r>
        <w:rPr>
          <w:b/>
          <w:bCs/>
        </w:rPr>
        <w:t xml:space="preserve">Pack:</w:t>
      </w:r>
      <w:r>
        <w:t xml:space="preserve"> </w:t>
      </w:r>
      <w:r>
        <w:t xml:space="preserve">Buyer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../VERSION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Evaluators, security reviewers, and procurement technical readers.</w: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short, diagram-backed excerpt of how the</w:t>
      </w:r>
      <w:r>
        <w:t xml:space="preserve"> </w:t>
      </w:r>
      <w:r>
        <w:rPr>
          <w:b/>
          <w:bCs/>
        </w:rPr>
        <w:t xml:space="preserve">ArchLucid platform</w:t>
      </w:r>
      <w:r>
        <w:t xml:space="preserve"> </w:t>
      </w:r>
      <w:r>
        <w:t xml:space="preserve">is built and operated (Azure-first, authority pipeline, tenant isolation).</w:t>
      </w:r>
    </w:p>
    <w:bookmarkEnd w:id="9"/>
    <w:bookmarkStart w:id="10" w:name="what-this-pack-is-not"/>
    <w:p>
      <w:pPr>
        <w:pStyle w:val="Heading2"/>
      </w:pPr>
      <w:r>
        <w:t xml:space="preserve">What this pack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 produced by ArchLucid for a tenantâ€™s systems. Those come from evidence through the product authority pipeline and product exports.</w:t>
      </w:r>
    </w:p>
    <w:bookmarkEnd w:id="10"/>
    <w:bookmarkStart w:id="11" w:name="honesty"/>
    <w:p>
      <w:pPr>
        <w:pStyle w:val="Heading2"/>
      </w:pPr>
      <w:r>
        <w:t xml:space="preserve">Honesty</w:t>
      </w:r>
    </w:p>
    <w:p>
      <w:pPr>
        <w:pStyle w:val="Compact"/>
        <w:numPr>
          <w:ilvl w:val="0"/>
          <w:numId w:val="1001"/>
        </w:numPr>
      </w:pPr>
      <w:r>
        <w:t xml:space="preserve">Production tenant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(ADR 0037). SQL Row-Level Security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production control.</w:t>
      </w:r>
    </w:p>
    <w:p>
      <w:pPr>
        <w:pStyle w:val="Compact"/>
        <w:numPr>
          <w:ilvl w:val="0"/>
          <w:numId w:val="1001"/>
        </w:numPr>
      </w:pPr>
      <w:r>
        <w:t xml:space="preserve">Async authority pipeline + transactional outbox is the SQL default (ADR 0038).</w:t>
      </w:r>
    </w:p>
    <w:p>
      <w:pPr>
        <w:pStyle w:val="Compact"/>
        <w:numPr>
          <w:ilvl w:val="0"/>
          <w:numId w:val="1001"/>
        </w:numPr>
      </w:pPr>
      <w:r>
        <w:t xml:space="preserve">CPA SOC 2 attestation and third-party pen-test publication are</w:t>
      </w:r>
      <w:r>
        <w:t xml:space="preserve"> </w:t>
      </w:r>
      <w:r>
        <w:rPr>
          <w:b/>
          <w:bCs/>
        </w:rPr>
        <w:t xml:space="preserve">owner/GTM</w:t>
      </w:r>
      <w:r>
        <w:t xml:space="preserve"> </w:t>
      </w:r>
      <w:r>
        <w:t xml:space="preserve">tracks â€” do not infer them from this pack.</w:t>
      </w:r>
    </w:p>
    <w:bookmarkEnd w:id="11"/>
    <w:bookmarkEnd w:id="12"/>
    <w:bookmarkStart w:id="19" w:name="system-context-buyer"/>
    <w:p>
      <w:pPr>
        <w:pStyle w:val="Heading1"/>
      </w:pPr>
      <w:r>
        <w:t xml:space="preserve">1. System context (buyer)</w:t>
      </w:r>
    </w:p>
    <w:p>
      <w:pPr>
        <w:pStyle w:val="FirstParagraph"/>
      </w:pPr>
      <w:r>
        <w:t xml:space="preserve">ArchLucid is an Azure-first architecture authority platform: operators use the architect workspace; automation calls the versioned API; SQL holds authoritative run state; Worker drains outboxes; Azure OpenAI / Service Bus / Blob are optional depending on profile.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System overview" title="" id="14" name="Picture"/>
            <a:graphic>
              <a:graphicData uri="http://schemas.openxmlformats.org/drawingml/2006/picture">
                <pic:pic>
                  <pic:nvPicPr>
                    <pic:cNvPr descr="../../architecture_diagrams/archlucid-system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Review happy path" title="" id="17" name="Picture"/>
            <a:graphic>
              <a:graphicData uri="http://schemas.openxmlformats.org/drawingml/2006/picture">
                <pic:pic>
                  <pic:nvPicPr>
                    <pic:cNvPr descr="../../architecture_diagrams/archlucid-review-happy-pa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happy path</w:t>
      </w:r>
    </w:p>
    <w:bookmarkEnd w:id="19"/>
    <w:bookmarkStart w:id="23" w:name="authority-pipeline-buyer"/>
    <w:p>
      <w:pPr>
        <w:pStyle w:val="Heading1"/>
      </w:pPr>
      <w:r>
        <w:t xml:space="preserve">2. Authority pipeline (buyer)</w:t>
      </w:r>
    </w:p>
    <w:p>
      <w:pPr>
        <w:pStyle w:val="FirstParagraph"/>
      </w:pPr>
      <w:r>
        <w:t xml:space="preserve">A review request persists a run, then runs (or queues) five stagesâ€”context ingestion, knowledge graph, findings, decisioning, artifact synthesisâ€”before transactional finalize into a golden manifest and decision trace.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uthority pipeline" title="" id="21" name="Picture"/>
            <a:graphic>
              <a:graphicData uri="http://schemas.openxmlformats.org/drawingml/2006/picture">
                <pic:pic>
                  <pic:nvPicPr>
                    <pic:cNvPr descr="../../architecture_diagrams/archlucid-authority-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Authority pipeline</w:t>
      </w:r>
    </w:p>
    <w:bookmarkEnd w:id="23"/>
    <w:bookmarkStart w:id="27" w:name="tenant-isolation-buyer"/>
    <w:p>
      <w:pPr>
        <w:pStyle w:val="Heading1"/>
      </w:pPr>
      <w:r>
        <w:t xml:space="preserve">3. Tenant isolation (buyer)</w:t>
      </w:r>
    </w:p>
    <w:p>
      <w:pPr>
        <w:pStyle w:val="FirstParagraph"/>
      </w:pPr>
      <w:r>
        <w:rPr>
          <w:b/>
          <w:bCs/>
        </w:rPr>
        <w:t xml:space="preserve">Primary control:</w:t>
      </w:r>
      <w:r>
        <w:t xml:space="preserve"> </w:t>
      </w:r>
      <w:r>
        <w:t xml:space="preserve">one product SQL catalog per tenant (</w:t>
      </w:r>
      <w:r>
        <w:rPr>
          <w:rStyle w:val="VerbatimChar"/>
        </w:rPr>
        <w:t xml:space="preserve">SystemWithPerTenantCatalogs</w:t>
      </w:r>
      <w:r>
        <w:t xml:space="preserve">), resolved at connection time.</w:t>
      </w:r>
      <w:r>
        <w:br/>
      </w:r>
      <w:r>
        <w:rPr>
          <w:b/>
          <w:bCs/>
        </w:rPr>
        <w:t xml:space="preserve">Not used in production:</w:t>
      </w:r>
      <w:r>
        <w:t xml:space="preserve"> </w:t>
      </w:r>
      <w:r>
        <w:t xml:space="preserve">SQL Row-Level Security (removed; ADR 0037).</w:t>
      </w:r>
      <w:r>
        <w:br/>
      </w:r>
      <w:r>
        <w:t xml:space="preserve">Defense-in-depth adds identity scope, HTTP route binding, scoped repositories, and tenant-prefixed blobs.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25" name="Picture"/>
            <a:graphic>
              <a:graphicData uri="http://schemas.openxmlformats.org/drawingml/2006/picture">
                <pic:pic>
                  <pic:nvPicPr>
                    <pic:cNvPr descr="../../architecture_diagrams/archlucid-tenant-iso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bookmarkEnd w:id="27"/>
    <w:bookmarkStart w:id="31" w:name="security-model-buyer"/>
    <w:p>
      <w:pPr>
        <w:pStyle w:val="Heading1"/>
      </w:pPr>
      <w:r>
        <w:t xml:space="preserve">4. Security model (buyer)</w:t>
      </w:r>
    </w:p>
    <w:p>
      <w:pPr>
        <w:pStyle w:val="FirstParagraph"/>
      </w:pPr>
      <w:r>
        <w:t xml:space="preserve">Ingress via browser/CLI (optional Front Door/APIM), Entra JWT or API keys, default-deny controllers with claims policies, production-like Key Vault / managed identity, and startup safety rules (including blocking single-catalog SQL in production-like hosts).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29" name="Picture"/>
            <a:graphic>
              <a:graphicData uri="http://schemas.openxmlformats.org/drawingml/2006/picture">
                <pic:pic>
                  <pic:nvPicPr>
                    <pic:cNvPr descr="../../architecture_diagrams/archlucid-security-mode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bookmarkEnd w:id="31"/>
    <w:bookmarkStart w:id="35" w:name="azure-topology-buyer"/>
    <w:p>
      <w:pPr>
        <w:pStyle w:val="Heading1"/>
      </w:pPr>
      <w:r>
        <w:t xml:space="preserve">5. Azure topology (buyer)</w:t>
      </w:r>
    </w:p>
    <w:p>
      <w:pPr>
        <w:pStyle w:val="FirstParagraph"/>
      </w:pPr>
      <w:r>
        <w:t xml:space="preserve">Representative hosted shape: Container Apps for Api and Worker, Azure SQL (per-tenant catalogs), optional Service Bus / Blob / Azure OpenAI, Entra ID, private endpoints and managed identity where pilots require them. Exact SKUs follow Terraform and the pilot SoW.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33" name="Picture"/>
            <a:graphic>
              <a:graphicData uri="http://schemas.openxmlformats.org/drawingml/2006/picture">
                <pic:pic>
                  <pic:nvPicPr>
                    <pic:cNvPr descr="../../architecture_diagrams/archlucid-azure-topolog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bookmarkEnd w:id="35"/>
    <w:bookmarkStart w:id="36" w:name="buyer-references"/>
    <w:p>
      <w:pPr>
        <w:pStyle w:val="Heading1"/>
      </w:pPr>
      <w:r>
        <w:t xml:space="preserve">Buyer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0037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docs/architecture/adrs/0037-tenant-isolation-without-rls-defense-in-depth.md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0038 outbox / durability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docs/architecture/adrs/0038-run-durability-multi-store-outbox-production-secrets.md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/ isolation buyer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docs/go-to-market/TENANT_ISOLATION.md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Handbook vs product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docs/architecture/PLATFORM_HANDBOOK_VS_PRODUCT_CAPABILITIES.md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3" Target="media/rId1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2026-08-06T17:34:36Z</dcterms:created>
  <dcterms:modified xsi:type="dcterms:W3CDTF">2026-08-06T17:34:36Z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