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DTO Boundary Design Assessment</w:t>
      </w:r>
    </w:p>
    <w:p>
      <w:r>
        <w:rPr>
          <w:i/>
        </w:rPr>
        <w:t>ArchLucid — 2026-06-05</w:t>
        <w:br/>
      </w:r>
      <w:r>
        <w:t>Subject: Preventing internal identifiers, trace metadata, raw enums, and operator-only API guidance from leaking on buyer-facing and proof-surface responses — and keeping the boundary from drifting via CI and OpenAPI tiers.</w:t>
      </w:r>
    </w:p>
    <w:p>
      <w:pPr>
        <w:pStyle w:val="Heading1"/>
      </w:pPr>
      <w:r>
        <w:t>Executive summary</w:t>
      </w:r>
    </w:p>
    <w:p>
      <w:r>
        <w:rPr>
          <w:b w:val="0"/>
        </w:rPr>
        <w:t>ArchLucid today mixes three concerns in a single JSON surface: persisted domain/read models, operator diagnostics, and buyer/sponsor proof payloads. The highest-risk pattern is returning internal read models (for example RunDetailDto with embedded ContextSnapshot, GraphSnapshot, FindingsSnapshot, DecisionTraceDto, and AgentResult rows) directly from HTTP controllers. That makes every new persisted field a potential buyer-visible leak.</w:t>
      </w:r>
    </w:p>
    <w:p>
      <w:r>
        <w:rPr>
          <w:b w:val="0"/>
        </w:rPr>
        <w:t>Recommended direction: a three-layer representation model with explicit mappers at each hop — InternalReadModel → OperatorDto → BuyerProofDto — plus audience-tiered Problem Details and OpenAPI contracts enforced in CI. Do not chase vanity DTO count; enforce forbidden-property lists and snapshot tests on the proof surface already partially guarded by ProofSurfaceContractRegistry.</w:t>
      </w:r>
    </w:p>
    <w:p>
      <w:pPr>
        <w:pStyle w:val="Heading1"/>
      </w:pPr>
      <w:r>
        <w:t>Problem statement</w:t>
      </w:r>
    </w:p>
    <w:p>
      <w:r>
        <w:rPr>
          <w:b/>
        </w:rPr>
        <w:t>Buyer-demo and platform audits (TB-273 / TB-274) surfaced leakage classes:</w:t>
      </w:r>
    </w:p>
    <w:p>
      <w:pPr>
        <w:pStyle w:val="ListBullet"/>
      </w:pPr>
      <w:r>
        <w:t>Internal snapshot and trace identifiers (ContextSnapshotId, GraphSnapshotId, FindingsSnapshotId, DecisionTraceId, agent execution trace ids) appearing on responses consumed by polished buyer UI.</w:t>
      </w:r>
    </w:p>
    <w:p>
      <w:pPr>
        <w:pStyle w:val="ListBullet"/>
      </w:pPr>
      <w:r>
        <w:t>Raw enum integers and engine-internal labels rendered verbatim in UI when DTOs mirror persistence shapes.</w:t>
      </w:r>
    </w:p>
    <w:p>
      <w:pPr>
        <w:pStyle w:val="ListBullet"/>
      </w:pPr>
      <w:r>
        <w:t>Operator problem+json extensions (supportHint) that embed GET/POST route strings, Swagger paths, configuration key names, and internal runbook references — visible to any client that receives Problem Details.</w:t>
      </w:r>
    </w:p>
    <w:p>
      <w:pPr>
        <w:pStyle w:val="ListBullet"/>
      </w:pPr>
      <w:r>
        <w:t>Forensics-grade payloads (full LLM traces, redacted-but-structurally-internal audit slices) reachable via routes authorized for ReadAuthority rather than a dedicated forensics tier.</w:t>
      </w:r>
    </w:p>
    <w:p>
      <w:pPr>
        <w:pStyle w:val="ListBullet"/>
      </w:pPr>
      <w:r>
        <w:t>OpenAPI snapshot that documents /v1/internal/* and admin diagnose routes alongside buyer routes — procurement and integrators cannot tell which contract is the product boundary.</w:t>
      </w:r>
    </w:p>
    <w:p>
      <w:pPr>
        <w:pStyle w:val="Heading1"/>
      </w:pPr>
      <w:r>
        <w:t>Current implementation (representative)</w:t>
      </w:r>
    </w:p>
    <w:p>
      <w:r>
        <w:rPr>
          <w:b/>
        </w:rPr>
        <w:t>Run detail — persistence read model on the wire</w:t>
      </w:r>
    </w:p>
    <w:p>
      <w:pPr>
        <w:pStyle w:val="ListBullet"/>
      </w:pPr>
      <w:r>
        <w:t>RunDetailDto (ArchLucid.Persistence.Queries) aggregates RunRecord plus hydrated ContextSnapshot, GraphSnapshot, FindingsSnapshot, DecisionTraceDto, ManifestDocument, ArtifactBundle, AgentResult list, and operator trust/cost summaries.</w:t>
      </w:r>
    </w:p>
    <w:p>
      <w:pPr>
        <w:pStyle w:val="ListBullet"/>
      </w:pPr>
      <w:r>
        <w:t>Returned directly as JSON from GET api/authority/runs/{runId} (AuthorityQueryController).</w:t>
      </w:r>
    </w:p>
    <w:p>
      <w:pPr>
        <w:pStyle w:val="ListBullet"/>
      </w:pPr>
      <w:r>
        <w:t>ProofSurfaceContractRegistry already lists RunDetailDto critical buyer-trust properties (executionFlavorBuyerSummary, trustEvidenceCard, agentExecutionLlmCostEstimate, etc.) — but does not forbid embedded snapshot subgraphs.</w:t>
      </w:r>
    </w:p>
    <w:p>
      <w:r>
        <w:rPr>
          <w:b/>
        </w:rPr>
        <w:t>Problem Details — operator hints on all tiers</w:t>
      </w:r>
    </w:p>
    <w:p>
      <w:pPr>
        <w:pStyle w:val="ListBullet"/>
      </w:pPr>
      <w:r>
        <w:t>ProblemSupportHints.AttachForProblemType adds extensions.supportHint for known problem types.</w:t>
      </w:r>
    </w:p>
    <w:p>
      <w:pPr>
        <w:pStyle w:val="ListBullet"/>
      </w:pPr>
      <w:r>
        <w:t>Hints reference concrete routes (GET /v1/graph/runs/{runId}/nodes, POST /v1/architecture/request, POST /v1/tenant/convert), Swagger (/swagger), config keys, and docs/runbooks/*.md.</w:t>
      </w:r>
    </w:p>
    <w:p>
      <w:pPr>
        <w:pStyle w:val="ListBullet"/>
      </w:pPr>
      <w:r>
        <w:t>Wired from MvcExtensions, PipelineExtensions, ApplicationProblemMapper, and middleware — no audience split between operator and buyer shells today.</w:t>
      </w:r>
    </w:p>
    <w:p>
      <w:r>
        <w:rPr>
          <w:b/>
        </w:rPr>
        <w:t>Existing drift guards (partial)</w:t>
      </w:r>
    </w:p>
    <w:p>
      <w:pPr>
        <w:pStyle w:val="ListBullet"/>
      </w:pPr>
      <w:r>
        <w:t>ProofSurfaceContractRegistry + ProofSurfaceContractDriftTests — critical property presence on PilotRunDeltasResponse, ExecutiveRoiSummaryResponse, RunDetailDto, RunExplanationSummary.</w:t>
      </w:r>
    </w:p>
    <w:p>
      <w:pPr>
        <w:pStyle w:val="ListBullet"/>
      </w:pPr>
      <w:r>
        <w:t>OpenApiContractSnapshotTests — full v1 snapshot; no audience partition.</w:t>
      </w:r>
    </w:p>
    <w:p>
      <w:pPr>
        <w:pStyle w:val="ListBullet"/>
      </w:pPr>
      <w:r>
        <w:t>CommercialPackagingMetadataTests — enterprise gating metadata on selected endpoints (e.g. audit export).</w:t>
      </w:r>
    </w:p>
    <w:p>
      <w:pPr>
        <w:pStyle w:val="ListBullet"/>
      </w:pPr>
      <w:r>
        <w:t>UI buyer-demo-content-gating — demo/prod separation at presentation layer, not DTO boundary.</w:t>
      </w:r>
    </w:p>
    <w:p>
      <w:pPr>
        <w:pStyle w:val="Heading1"/>
      </w:pPr>
      <w:r>
        <w:t>Design goals</w:t>
      </w:r>
    </w:p>
    <w:p>
      <w:pPr>
        <w:pStyle w:val="ListBullet"/>
      </w:pPr>
      <w:r>
        <w:t>Buyer and sponsor surfaces expose business meaning (decisions, evidence, savings basis, disposition) — not storage keys, pipeline stage ids, or OTel/ASP.NET trace identifiers unless explicitly support-scoped.</w:t>
      </w:r>
    </w:p>
    <w:p>
      <w:pPr>
        <w:pStyle w:val="ListBullet"/>
      </w:pPr>
      <w:r>
        <w:t>Operator surfaces may expose diagnostics, snapshot ids, and route-oriented hints — behind ReadAuthority or higher and never rendered in buyer-polished UI without an explicit mapping layer.</w:t>
      </w:r>
    </w:p>
    <w:p>
      <w:pPr>
        <w:pStyle w:val="ListBullet"/>
      </w:pPr>
      <w:r>
        <w:t>Forensics/admin (full LLM traces, raw prompts) live on a separate contract tier or internal OpenAPI group.</w:t>
      </w:r>
    </w:p>
    <w:p>
      <w:pPr>
        <w:pStyle w:val="ListBullet"/>
      </w:pPr>
      <w:r>
        <w:t>Every new HTTP response type declares its audience; CI fails when forbidden properties appear on buyer-tier schemas.</w:t>
      </w:r>
    </w:p>
    <w:p>
      <w:pPr>
        <w:pStyle w:val="ListBullet"/>
      </w:pPr>
      <w:r>
        <w:t>Mappers are the single choke point — controllers do not return persistence entities or domain aggregates directly.</w:t>
      </w:r>
    </w:p>
    <w:p>
      <w:pPr>
        <w:pStyle w:val="Heading1"/>
      </w:pPr>
      <w:r>
        <w:t>Recommended three-layer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Serialized to HTTP?</w:t>
            </w:r>
          </w:p>
        </w:tc>
      </w:tr>
      <w:tr>
        <w:tc>
          <w:tcPr>
            <w:tcW w:type="dxa" w:w="2160"/>
          </w:tcPr>
          <w:p>
            <w:r>
              <w:t>Internal read model</w:t>
            </w:r>
          </w:p>
        </w:tc>
        <w:tc>
          <w:tcPr>
            <w:tcW w:type="dxa" w:w="2160"/>
          </w:tcPr>
          <w:p>
            <w:r>
              <w:t>Persistence queries, orchestration</w:t>
            </w:r>
          </w:p>
        </w:tc>
        <w:tc>
          <w:tcPr>
            <w:tcW w:type="dxa" w:w="2160"/>
          </w:tcPr>
          <w:p>
            <w:r>
              <w:t>Efficient hydration; snapshot ids; joins</w:t>
            </w:r>
          </w:p>
        </w:tc>
        <w:tc>
          <w:tcPr>
            <w:tcW w:type="dxa" w:w="2160"/>
          </w:tcPr>
          <w:p>
            <w:r>
              <w:t>Never directly</w:t>
            </w:r>
          </w:p>
        </w:tc>
      </w:tr>
      <w:tr>
        <w:tc>
          <w:tcPr>
            <w:tcW w:type="dxa" w:w="2160"/>
          </w:tcPr>
          <w:p>
            <w:r>
              <w:t>Operator DTO</w:t>
            </w:r>
          </w:p>
        </w:tc>
        <w:tc>
          <w:tcPr>
            <w:tcW w:type="dxa" w:w="2160"/>
          </w:tcPr>
          <w:p>
            <w:r>
              <w:t>ArchLucid.Contracts (operator namespace) or Application mappers</w:t>
            </w:r>
          </w:p>
        </w:tc>
        <w:tc>
          <w:tcPr>
            <w:tcW w:type="dxa" w:w="2160"/>
          </w:tcPr>
          <w:p>
            <w:r>
              <w:t>Run detail, compare, governance ops; may include snapshot ids, trace refs, engine labels</w:t>
            </w:r>
          </w:p>
        </w:tc>
        <w:tc>
          <w:tcPr>
            <w:tcW w:type="dxa" w:w="2160"/>
          </w:tcPr>
          <w:p>
            <w:r>
              <w:t>Yes — operator routes + full shell only</w:t>
            </w:r>
          </w:p>
        </w:tc>
      </w:tr>
      <w:tr>
        <w:tc>
          <w:tcPr>
            <w:tcW w:type="dxa" w:w="2160"/>
          </w:tcPr>
          <w:p>
            <w:r>
              <w:t>Buyer / proof DTO</w:t>
            </w:r>
          </w:p>
        </w:tc>
        <w:tc>
          <w:tcPr>
            <w:tcW w:type="dxa" w:w="2160"/>
          </w:tcPr>
          <w:p>
            <w:r>
              <w:t>ArchLucid.Contracts (proof/buyer namespace)</w:t>
            </w:r>
          </w:p>
        </w:tc>
        <w:tc>
          <w:tcPr>
            <w:tcW w:type="dxa" w:w="2160"/>
          </w:tcPr>
          <w:p>
            <w:r>
              <w:t>Executive summary, manifest summary, pilot deltas, sponsor exports — stable vocabulary</w:t>
            </w:r>
          </w:p>
        </w:tc>
        <w:tc>
          <w:tcPr>
            <w:tcW w:type="dxa" w:w="2160"/>
          </w:tcPr>
          <w:p>
            <w:r>
              <w:t>Yes — buyer-polished UI + sponsor artifacts</w:t>
            </w:r>
          </w:p>
        </w:tc>
      </w:tr>
    </w:tbl>
    <w:p>
      <w:r>
        <w:rPr>
          <w:b w:val="0"/>
        </w:rPr>
      </w:r>
    </w:p>
    <w:p>
      <w:r>
        <w:rPr>
          <w:b/>
        </w:rPr>
        <w:t>Mapping rules:</w:t>
      </w:r>
    </w:p>
    <w:p>
      <w:pPr>
        <w:pStyle w:val="ListBullet"/>
      </w:pPr>
      <w:r>
        <w:t>One mapper class per boundary crossing (e.g. RunDetailOperatorMapper, RunDetailBuyerMapper) — even if thin; keeps reviews mechanical.</w:t>
      </w:r>
    </w:p>
    <w:p>
      <w:pPr>
        <w:pStyle w:val="ListBullet"/>
      </w:pPr>
      <w:r>
        <w:t>Buyer mappers whitelist properties; default-deny unknown fields (explicit construction, not AutoMapper blind copy).</w:t>
      </w:r>
    </w:p>
    <w:p>
      <w:pPr>
        <w:pStyle w:val="ListBullet"/>
      </w:pPr>
      <w:r>
        <w:t>Enums exposed to buyers use string tokens with stable display vocabulary (already started in UI copy layers); never raw int unless documented in a versioned enum contract.</w:t>
      </w:r>
    </w:p>
    <w:p>
      <w:pPr>
        <w:pStyle w:val="ListBullet"/>
      </w:pPr>
      <w:r>
        <w:t>Identifiers: runId/manifestId/findingId as business keys are OK; snapshotId/traceId/storageRowId are not.</w:t>
      </w:r>
    </w:p>
    <w:p>
      <w:pPr>
        <w:pStyle w:val="ListBullet"/>
      </w:pPr>
      <w:r>
        <w:t>Nested graphs: buyer gets summarized nodes/edges and citation anchors; operator gets paginated graph APIs.</w:t>
      </w:r>
    </w:p>
    <w:p>
      <w:pPr>
        <w:pStyle w:val="Heading1"/>
      </w:pPr>
      <w:r>
        <w:t>Problem Details tiers</w:t>
      </w:r>
    </w:p>
    <w:p>
      <w:r>
        <w:rPr>
          <w:b w:val="0"/>
        </w:rPr>
        <w:t>Split problem+json into Operator and Buyer profiles selected by policy or Accept/audience header — not by duplicating every exception 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Operator tier</w:t>
            </w:r>
          </w:p>
        </w:tc>
        <w:tc>
          <w:tcPr>
            <w:tcW w:type="dxa" w:w="2880"/>
          </w:tcPr>
          <w:p>
            <w:r>
              <w:t>Buyer tier</w:t>
            </w:r>
          </w:p>
        </w:tc>
      </w:tr>
      <w:tr>
        <w:tc>
          <w:tcPr>
            <w:tcW w:type="dxa" w:w="2880"/>
          </w:tcPr>
          <w:p>
            <w:r>
              <w:t>type, title, status, detail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Full (buyer-safe detail text)</w:t>
            </w:r>
          </w:p>
        </w:tc>
      </w:tr>
      <w:tr>
        <w:tc>
          <w:tcPr>
            <w:tcW w:type="dxa" w:w="2880"/>
          </w:tcPr>
          <w:p>
            <w:r>
              <w:t>errorCode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 — stable product codes only</w:t>
            </w:r>
          </w:p>
        </w:tc>
      </w:tr>
      <w:tr>
        <w:tc>
          <w:tcPr>
            <w:tcW w:type="dxa" w:w="2880"/>
          </w:tcPr>
          <w:p>
            <w:r>
              <w:t>traceId / correlationId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Opaque support reference only; no internal span ids</w:t>
            </w:r>
          </w:p>
        </w:tc>
      </w:tr>
      <w:tr>
        <w:tc>
          <w:tcPr>
            <w:tcW w:type="dxa" w:w="2880"/>
          </w:tcPr>
          <w:p>
            <w:r>
              <w:t>extensions.supportHint</w:t>
            </w:r>
          </w:p>
        </w:tc>
        <w:tc>
          <w:tcPr>
            <w:tcW w:type="dxa" w:w="2880"/>
          </w:tcPr>
          <w:p>
            <w:r>
              <w:t>Route + runbook hints OK</w:t>
            </w:r>
          </w:p>
        </w:tc>
        <w:tc>
          <w:tcPr>
            <w:tcW w:type="dxa" w:w="2880"/>
          </w:tcPr>
          <w:p>
            <w:r>
              <w:t>Omit or replace with buyer-safe nextStep copy</w:t>
            </w:r>
          </w:p>
        </w:tc>
      </w:tr>
      <w:tr>
        <w:tc>
          <w:tcPr>
            <w:tcW w:type="dxa" w:w="2880"/>
          </w:tcPr>
          <w:p>
            <w:r>
              <w:t>extensions.validationErrors</w:t>
            </w:r>
          </w:p>
        </w:tc>
        <w:tc>
          <w:tcPr>
            <w:tcW w:type="dxa" w:w="2880"/>
          </w:tcPr>
          <w:p>
            <w:r>
              <w:t>Field-level</w:t>
            </w:r>
          </w:p>
        </w:tc>
        <w:tc>
          <w:tcPr>
            <w:tcW w:type="dxa" w:w="2880"/>
          </w:tcPr>
          <w:p>
            <w:r>
              <w:t>Field-level without internal property paths</w:t>
            </w:r>
          </w:p>
        </w:tc>
      </w:tr>
      <w:tr>
        <w:tc>
          <w:tcPr>
            <w:tcW w:type="dxa" w:w="2880"/>
          </w:tcPr>
          <w:p>
            <w:r>
              <w:t>extensions.pricingUrl / upgradeUrl</w:t>
            </w:r>
          </w:p>
        </w:tc>
        <w:tc>
          <w:tcPr>
            <w:tcW w:type="dxa" w:w="2880"/>
          </w:tcPr>
          <w:p>
            <w:r>
              <w:t>Commercial CTAs</w:t>
            </w:r>
          </w:p>
        </w:tc>
        <w:tc>
          <w:tcPr>
            <w:tcW w:type="dxa" w:w="2880"/>
          </w:tcPr>
          <w:p>
            <w:r>
              <w:t>Same when tier-gated</w:t>
            </w:r>
          </w:p>
        </w:tc>
      </w:tr>
    </w:tbl>
    <w:p>
      <w:r>
        <w:rPr>
          <w:b w:val="0"/>
        </w:rPr>
        <w:t>Implementation sketch: ProblemSupportHints resolves hints only when HttpContext carries operator audience; BuyerProblemDetailsFactory strips extensions that match a forbidden-key list. Existing ProblemSupportHintsTests extend to assert buyer responses never contain GET /v1/ substrings.</w:t>
      </w:r>
    </w:p>
    <w:p>
      <w:pPr>
        <w:pStyle w:val="Heading1"/>
      </w:pPr>
      <w:r>
        <w:t>OpenAPI and CI anti-drift</w:t>
      </w:r>
    </w:p>
    <w:p>
      <w:r>
        <w:rPr>
          <w:b/>
        </w:rPr>
        <w:t>OpenAPI audience tiers</w:t>
      </w:r>
    </w:p>
    <w:p>
      <w:pPr>
        <w:pStyle w:val="ListBullet"/>
      </w:pPr>
      <w:r>
        <w:t>Add x-archlucid-audience: buyer | operator | internal | forensics on every operation and schema.</w:t>
      </w:r>
    </w:p>
    <w:p>
      <w:pPr>
        <w:pStyle w:val="ListBullet"/>
      </w:pPr>
      <w:r>
        <w:t>Publish buyer-contract.openapi.json — filtered snapshot containing only buyer + proof operations/schemas.</w:t>
      </w:r>
    </w:p>
    <w:p>
      <w:pPr>
        <w:pStyle w:val="ListBullet"/>
      </w:pPr>
      <w:r>
        <w:t>Procurement pack and archlucid-ui generate:api-types consume buyer snapshot; operator CLI uses full v1.</w:t>
      </w:r>
    </w:p>
    <w:p>
      <w:pPr>
        <w:pStyle w:val="ListBullet"/>
      </w:pPr>
      <w:r>
        <w:t>Keep /v1/internal/* and diagnose routes in internal group only — excluded from buyer snapshot by CI filter.</w:t>
      </w:r>
    </w:p>
    <w:p>
      <w:r>
        <w:rPr>
          <w:b/>
        </w:rPr>
        <w:t>CI guards (recommended)</w:t>
      </w:r>
    </w:p>
    <w:p>
      <w:pPr>
        <w:pStyle w:val="ListBullet"/>
      </w:pPr>
      <w:r>
        <w:t>Forbidden-property scan: buyer-tier schemas must not contain *SnapshotId, TraceId, RawResponse, SystemPrompt, deploymentName, RuleSetId, etc. (maintained list in scripts/ci/data/buyer_dto_forbidden_properties.txt).</w:t>
      </w:r>
    </w:p>
    <w:p>
      <w:pPr>
        <w:pStyle w:val="ListBullet"/>
      </w:pPr>
      <w:r>
        <w:t>Extend ProofSurfaceContractRegistry with forbiddenProperties per surface — fail if OpenAPI snapshot adds them.</w:t>
      </w:r>
    </w:p>
    <w:p>
      <w:pPr>
        <w:pStyle w:val="ListBullet"/>
      </w:pPr>
      <w:r>
        <w:t>Buyer problem-details snapshot test — golden JSON for 404/400/403 on a buyer route without supportHint routes.</w:t>
      </w:r>
    </w:p>
    <w:p>
      <w:pPr>
        <w:pStyle w:val="ListBullet"/>
      </w:pPr>
      <w:r>
        <w:t>Architecture test: Controllers in buyer-facing route tier must not declare return types from ArchLucid.Persistence.*.</w:t>
      </w:r>
    </w:p>
    <w:p>
      <w:pPr>
        <w:pStyle w:val="ListBullet"/>
      </w:pPr>
      <w:r>
        <w:t>Diff gate: openapi-v1.contract.snapshot.json changes to buyer-tier operations require assessment note in PR template.</w:t>
      </w:r>
    </w:p>
    <w:p>
      <w:pPr>
        <w:pStyle w:val="Heading1"/>
      </w:pPr>
      <w:r>
        <w:t>Endpoint tiering (LLM traces example)</w:t>
      </w:r>
    </w:p>
    <w:p>
      <w:r>
        <w:rPr>
          <w:b w:val="0"/>
        </w:rPr>
        <w:t>GET /v1/architecture/run/{runId}/traces under ReadAuthority blurs product vs forensics. Partition as follows:</w:t>
      </w:r>
    </w:p>
    <w:p>
      <w:pPr>
        <w:pStyle w:val="ListBullet"/>
      </w:pPr>
      <w:r>
        <w:t>Buyer/proof: no full prompts/responses; only RunExplanationSummary / faithfulness aggregates (already in ProofSurfaceContractRegistry).</w:t>
      </w:r>
    </w:p>
    <w:p>
      <w:pPr>
        <w:pStyle w:val="ListBullet"/>
      </w:pPr>
      <w:r>
        <w:t>Operator: summarized trace list (tokens, model, status, redacted snippet) on operator run detail DTO.</w:t>
      </w:r>
    </w:p>
    <w:p>
      <w:pPr>
        <w:pStyle w:val="ListBullet"/>
      </w:pPr>
      <w:r>
        <w:t>Forensics/internal: full trace bodies on /v1/internal/* or RequireOperatorRole with audit logging.</w:t>
      </w:r>
    </w:p>
    <w:p>
      <w:pPr>
        <w:pStyle w:val="Heading1"/>
      </w:pPr>
      <w:r>
        <w:t>Alternatives considered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Alternative</w:t>
            </w:r>
          </w:p>
        </w:tc>
        <w:tc>
          <w:tcPr>
            <w:tcW w:type="dxa" w:w="2880"/>
          </w:tcPr>
          <w:p>
            <w:r>
              <w:t>Trade-off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UI-only redaction (hide fields in React)</w:t>
            </w:r>
          </w:p>
        </w:tc>
        <w:tc>
          <w:tcPr>
            <w:tcW w:type="dxa" w:w="2880"/>
          </w:tcPr>
          <w:p>
            <w:r>
              <w:t>Fast but unsafe — exports, CLI, integrators, and view-source bypass UI</w:t>
            </w:r>
          </w:p>
        </w:tc>
        <w:tc>
          <w:tcPr>
            <w:tcW w:type="dxa" w:w="2880"/>
          </w:tcPr>
          <w:p>
            <w:r>
              <w:t>Reject as sole defense</w:t>
            </w:r>
          </w:p>
        </w:tc>
      </w:tr>
      <w:tr>
        <w:tc>
          <w:tcPr>
            <w:tcW w:type="dxa" w:w="2880"/>
          </w:tcPr>
          <w:p>
            <w:r>
              <w:t>JsonIgnore on persistence models</w:t>
            </w:r>
          </w:p>
        </w:tc>
        <w:tc>
          <w:tcPr>
            <w:tcW w:type="dxa" w:w="2880"/>
          </w:tcPr>
          <w:p>
            <w:r>
              <w:t>Fragile — same type used for operator and buyer paths; easy to forget</w:t>
            </w:r>
          </w:p>
        </w:tc>
        <w:tc>
          <w:tcPr>
            <w:tcW w:type="dxa" w:w="2880"/>
          </w:tcPr>
          <w:p>
            <w:r>
              <w:t>Use only on dedicated operator DTOs</w:t>
            </w:r>
          </w:p>
        </w:tc>
      </w:tr>
      <w:tr>
        <w:tc>
          <w:tcPr>
            <w:tcW w:type="dxa" w:w="2880"/>
          </w:tcPr>
          <w:p>
            <w:r>
              <w:t>Single DTO with nullable 'buyerMode' flag</w:t>
            </w:r>
          </w:p>
        </w:tc>
        <w:tc>
          <w:tcPr>
            <w:tcW w:type="dxa" w:w="2880"/>
          </w:tcPr>
          <w:p>
            <w:r>
              <w:t>Combinatorial testing burden; leaks via defaults</w:t>
            </w:r>
          </w:p>
        </w:tc>
        <w:tc>
          <w:tcPr>
            <w:tcW w:type="dxa" w:w="2880"/>
          </w:tcPr>
          <w:p>
            <w:r>
              <w:t>Reject</w:t>
            </w:r>
          </w:p>
        </w:tc>
      </w:tr>
      <w:tr>
        <w:tc>
          <w:tcPr>
            <w:tcW w:type="dxa" w:w="2880"/>
          </w:tcPr>
          <w:p>
            <w:r>
              <w:t>GraphQL field-level auth</w:t>
            </w:r>
          </w:p>
        </w:tc>
        <w:tc>
          <w:tcPr>
            <w:tcW w:type="dxa" w:w="2880"/>
          </w:tcPr>
          <w:p>
            <w:r>
              <w:t>New surface area; team standard is OpenAPI + REST</w:t>
            </w:r>
          </w:p>
        </w:tc>
        <w:tc>
          <w:tcPr>
            <w:tcW w:type="dxa" w:w="2880"/>
          </w:tcPr>
          <w:p>
            <w:r>
              <w:t>Defer unless product pivots</w:t>
            </w:r>
          </w:p>
        </w:tc>
      </w:tr>
      <w:tr>
        <w:tc>
          <w:tcPr>
            <w:tcW w:type="dxa" w:w="2880"/>
          </w:tcPr>
          <w:p>
            <w:r>
              <w:t>Three-layer mappers + OpenAPI tiers</w:t>
            </w:r>
          </w:p>
        </w:tc>
        <w:tc>
          <w:tcPr>
            <w:tcW w:type="dxa" w:w="2880"/>
          </w:tcPr>
          <w:p>
            <w:r>
              <w:t>More types and mappers; clearest CI story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>
      <w:pPr>
        <w:pStyle w:val="Heading1"/>
      </w:pPr>
      <w:r>
        <w:t>Migration path (phased)</w:t>
      </w:r>
    </w:p>
    <w:p>
      <w:pPr>
        <w:pStyle w:val="ListBullet"/>
      </w:pPr>
      <w:r>
        <w:t>Phase 0 — Inventory: tag every controller action with audience; list return types that reference Persistence.* or embed snapshots.</w:t>
      </w:r>
    </w:p>
    <w:p>
      <w:pPr>
        <w:pStyle w:val="ListBullet"/>
      </w:pPr>
      <w:r>
        <w:t>Phase 1 — Proof surface: introduce BuyerRunDetailSummaryDto (or split RunDetailDto) for buyer-polished UI routes; map from existing read model; extend ProofSurfaceContractRegistry with forbidden list.</w:t>
      </w:r>
    </w:p>
    <w:p>
      <w:pPr>
        <w:pStyle w:val="ListBullet"/>
      </w:pPr>
      <w:r>
        <w:t>Phase 2 — Problem Details: audience-aware ProblemSupportHints; buyer-safe nextStep catalog in Host.Core.</w:t>
      </w:r>
    </w:p>
    <w:p>
      <w:pPr>
        <w:pStyle w:val="ListBullet"/>
      </w:pPr>
      <w:r>
        <w:t>Phase 3 — OpenAPI split: generate buyer-contract snapshot; wire UI codegen to filtered spec.</w:t>
      </w:r>
    </w:p>
    <w:p>
      <w:pPr>
        <w:pStyle w:val="ListBullet"/>
      </w:pPr>
      <w:r>
        <w:t>Phase 4 — Strangle legacy: authority run detail returns operator DTO; add v2 route if breaking change required.</w:t>
      </w:r>
    </w:p>
    <w:p>
      <w:pPr>
        <w:pStyle w:val="Heading1"/>
      </w:pPr>
      <w:r>
        <w:t>Suggested backlog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TB-283</w:t>
            </w:r>
          </w:p>
        </w:tc>
        <w:tc>
          <w:tcPr>
            <w:tcW w:type="dxa" w:w="2880"/>
          </w:tcPr>
          <w:p>
            <w:r>
              <w:t>BuyerRunDetailSummaryDto + mapper; stop returning embedded snapshots on buyer routes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TB-284</w:t>
            </w:r>
          </w:p>
        </w:tc>
        <w:tc>
          <w:tcPr>
            <w:tcW w:type="dxa" w:w="2880"/>
          </w:tcPr>
          <w:p>
            <w:r>
              <w:t>Audience-tier Problem Details — strip route/runbook supportHint on buyer errors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TB-285</w:t>
            </w:r>
          </w:p>
        </w:tc>
        <w:tc>
          <w:tcPr>
            <w:tcW w:type="dxa" w:w="2880"/>
          </w:tcPr>
          <w:p>
            <w:r>
              <w:t>CI forbidden-property guard for buyer OpenAPI schemas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TB-286</w:t>
            </w:r>
          </w:p>
        </w:tc>
        <w:tc>
          <w:tcPr>
            <w:tcW w:type="dxa" w:w="2880"/>
          </w:tcPr>
          <w:p>
            <w:r>
              <w:t>OpenAPI x-archlucid-audience + buyer-contract.snapshot.json filter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TB-287</w:t>
            </w:r>
          </w:p>
        </w:tc>
        <w:tc>
          <w:tcPr>
            <w:tcW w:type="dxa" w:w="2880"/>
          </w:tcPr>
          <w:p>
            <w:r>
              <w:t>Forensics partition for full LLM traces (/internal or operator-only DTO)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TB-288</w:t>
            </w:r>
          </w:p>
        </w:tc>
        <w:tc>
          <w:tcPr>
            <w:tcW w:type="dxa" w:w="2880"/>
          </w:tcPr>
          <w:p>
            <w:r>
              <w:t>Architecture test — buyer controllers must not return Persistence.* types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Security, scalability, reliability, cost</w:t>
      </w:r>
    </w:p>
    <w:p>
      <w:r>
        <w:rPr>
          <w:b/>
        </w:rPr>
        <w:t>Security:</w:t>
      </w:r>
    </w:p>
    <w:p>
      <w:r>
        <w:rPr>
          <w:b w:val="0"/>
        </w:rPr>
        <w:t>Leaked snapshot/trace ids aid correlation attacks and reconnaissance; operator hints teach integrators internal route topology. Buyer-tier DTOs reduce accidental exposure of forensics data under ReadAuthority.</w:t>
      </w:r>
    </w:p>
    <w:p>
      <w:r>
        <w:rPr>
          <w:b/>
        </w:rPr>
        <w:t>Scalability:</w:t>
      </w:r>
    </w:p>
    <w:p>
      <w:r>
        <w:rPr>
          <w:b w:val="0"/>
        </w:rPr>
        <w:t>Smaller buyer DTOs reduce payload size on hot paths (executive summary, manifest summary). Operator pagination stays on dedicated graph/trace endpoints.</w:t>
      </w:r>
    </w:p>
    <w:p>
      <w:r>
        <w:rPr>
          <w:b/>
        </w:rPr>
        <w:t>Reliability:</w:t>
      </w:r>
    </w:p>
    <w:p>
      <w:r>
        <w:rPr>
          <w:b w:val="0"/>
        </w:rPr>
        <w:t>Explicit proof-surface contracts prevent silent schema drift that breaks buyer UI trust labels (ROI freshness, execution flavor, proof completeness).</w:t>
      </w:r>
    </w:p>
    <w:p>
      <w:r>
        <w:rPr>
          <w:b/>
        </w:rPr>
        <w:t>Cost:</w:t>
      </w:r>
    </w:p>
    <w:p>
      <w:r>
        <w:rPr>
          <w:b w:val="0"/>
        </w:rPr>
        <w:t>Mapper boilerplate is cheap vs incident response from a buyer seeing simulator trace ids or POST /v1/... strings in error JSON during a live demo.</w:t>
      </w:r>
    </w:p>
    <w:p>
      <w:pPr>
        <w:pStyle w:val="Heading1"/>
      </w:pPr>
      <w:r>
        <w:t>References (codebase)</w:t>
      </w:r>
    </w:p>
    <w:p>
      <w:pPr>
        <w:pStyle w:val="ListBullet"/>
      </w:pPr>
      <w:r>
        <w:t>ArchLucid.Persistence/Queries/RunDetailDto.cs</w:t>
      </w:r>
    </w:p>
    <w:p>
      <w:pPr>
        <w:pStyle w:val="ListBullet"/>
      </w:pPr>
      <w:r>
        <w:t>ArchLucid.Api.Tests/Contracts/ProofSurfaceContractRegistry.cs</w:t>
      </w:r>
    </w:p>
    <w:p>
      <w:pPr>
        <w:pStyle w:val="ListBullet"/>
      </w:pPr>
      <w:r>
        <w:t>ArchLucid.Host.Core/ProblemDetails/ProblemSupportHints.cs</w:t>
      </w:r>
    </w:p>
    <w:p>
      <w:pPr>
        <w:pStyle w:val="ListBullet"/>
      </w:pPr>
      <w:r>
        <w:t>ArchLucid.Api/ProblemDetails/ApplicationProblemMapper.cs</w:t>
      </w:r>
    </w:p>
    <w:p>
      <w:pPr>
        <w:pStyle w:val="ListBullet"/>
      </w:pPr>
      <w:r>
        <w:t>ArchLucid.Api.Tests/Contracts/openapi-v1.contract.snapshot.json</w:t>
      </w:r>
    </w:p>
    <w:p>
      <w:pPr>
        <w:pStyle w:val="ListBullet"/>
      </w:pPr>
      <w:r>
        <w:t>archlucid-ui/src/lib/buyer-demo-content-gating.ts</w:t>
      </w:r>
    </w:p>
    <w:p>
      <w:pPr>
        <w:pStyle w:val="ListBullet"/>
      </w:pPr>
      <w:r>
        <w:t>docs/assessments/sonnet_questions_06042026.md — question 15 (DTO boundary)</w:t>
      </w:r>
    </w:p>
    <w:p>
      <w:pPr>
        <w:pStyle w:val="ListBullet"/>
      </w:pPr>
      <w:r>
        <w:t>docs/library/TECH_BACKLOG.md — TB-273 (buyer-demo leakage), TB-106 (run detail fidelity)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