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6.png" ContentType="image/png"/>
  <Override PartName="/word/media/rId85.png" ContentType="image/png"/>
  <Override PartName="/word/media/rId41.png" ContentType="image/png"/>
  <Override PartName="/word/media/rId152.png" ContentType="image/png"/>
  <Override PartName="/word/media/rId28.png" ContentType="image/png"/>
  <Override PartName="/word/media/rId35.png" ContentType="image/png"/>
  <Override PartName="/word/media/rId57.png" ContentType="image/png"/>
  <Override PartName="/word/media/rId81.png" ContentType="image/png"/>
  <Override PartName="/word/media/rId148.png" ContentType="image/png"/>
  <Override PartName="/word/media/rId144.png" ContentType="image/png"/>
  <Override PartName="/word/media/rId67.png" ContentType="image/png"/>
  <Override PartName="/word/media/rId168.png" ContentType="image/png"/>
  <Override PartName="/word/media/rId77.png" ContentType="image/png"/>
  <Override PartName="/word/media/rId128.png" ContentType="image/png"/>
  <Override PartName="/word/media/rId124.png" ContentType="image/png"/>
  <Override PartName="/word/media/rId160.png" ContentType="image/png"/>
  <Override PartName="/word/media/rId97.png" ContentType="image/png"/>
  <Override PartName="/word/media/rId47.png" ContentType="image/png"/>
  <Override PartName="/word/media/rId93.png" ContentType="image/png"/>
  <Override PartName="/word/media/rId164.png" ContentType="image/png"/>
  <Override PartName="/word/media/rId72.png" ContentType="image/png"/>
  <Override PartName="/word/media/rId156.png" ContentType="image/png"/>
  <Override PartName="/word/media/rId172.png" ContentType="image/png"/>
  <Override PartName="/word/media/rId89.png" ContentType="image/png"/>
  <Override PartName="/word/media/rId19.png" ContentType="image/png"/>
  <Override PartName="/word/media/rId62.png" ContentType="image/png"/>
  <Override PartName="/word/media/rId118.png" ContentType="image/png"/>
  <Override PartName="/word/media/rId102.png" ContentType="image/png"/>
  <Override PartName="/word/media/rId114.png" ContentType="image/png"/>
  <Override PartName="/word/media/rId110.png" ContentType="image/png"/>
  <Override PartName="/word/media/rId106.png" ContentType="image/png"/>
  <Override PartName="/word/media/rId15.png" ContentType="image/png"/>
  <Override PartName="/word/media/rId52.png" ContentType="image/png"/>
  <Override PartName="/word/media/rId134.png" ContentType="image/png"/>
  <Override PartName="/word/media/rId1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“ArchLucid platform architecture handbook”</w:t>
      </w:r>
    </w:p>
    <w:p>
      <w:pPr>
        <w:pStyle w:val="BodyText"/>
      </w:pPr>
      <w:r>
        <w:t xml:space="preserve">subtitle:</w:t>
      </w:r>
      <w:r>
        <w:t xml:space="preserve"> </w:t>
      </w:r>
      <w:r>
        <w:t xml:space="preserve">“Version 2026.08.06c â€” generated from docs/architecture/architecture_handbook”</w:t>
      </w:r>
    </w:p>
    <w:p>
      <w:r>
        <w:pict>
          <v:rect style="width:0;height:1.5pt" o:hralign="center" o:hrstd="t" o:hr="t"/>
        </w:pict>
      </w:r>
    </w:p>
    <w:bookmarkStart w:id="13" w:name="archlucid-platform-architecture-handbook"/>
    <w:p>
      <w:pPr>
        <w:pStyle w:val="Heading1"/>
      </w:pPr>
      <w:r>
        <w:t xml:space="preserve">ArchLucid platform architecture handbook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rPr>
          <w:rStyle w:val="VerbatimChar"/>
        </w:rPr>
        <w:t xml:space="preserve">2026.08.06b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)</w:t>
      </w:r>
      <w:r>
        <w:br/>
      </w:r>
      <w:r>
        <w:rPr>
          <w:b/>
          <w:bCs/>
        </w:rPr>
        <w:t xml:space="preserve">Canonical poster:</w:t>
      </w:r>
      <w:r>
        <w:t xml:space="preserve"> </w:t>
      </w:r>
      <w:r>
        <w:rPr>
          <w:rStyle w:val="VerbatimChar"/>
        </w:rPr>
        <w:t xml:space="preserve">docs/ARCHITECTURE_ON_ONE_PAGE.md</w:t>
      </w:r>
      <w:r>
        <w:br/>
      </w:r>
      <w:r>
        <w:rPr>
          <w:b/>
          <w:bCs/>
        </w:rPr>
        <w:t xml:space="preserve">Diagram index:</w:t>
      </w:r>
      <w:r>
        <w:t xml:space="preserve"> </w:t>
      </w:r>
      <w:r>
        <w:rPr>
          <w:rStyle w:val="VerbatimChar"/>
        </w:rPr>
        <w:t xml:space="preserve">docs/architecture/architecture_diagrams/</w: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Provide a single, regenerable document that:</w:t>
      </w:r>
    </w:p>
    <w:p>
      <w:pPr>
        <w:pStyle w:val="Compact"/>
        <w:numPr>
          <w:ilvl w:val="0"/>
          <w:numId w:val="1001"/>
        </w:numPr>
      </w:pPr>
      <w:r>
        <w:t xml:space="preserve">Explains the ArchLucid</w:t>
      </w:r>
      <w:r>
        <w:t xml:space="preserve"> </w:t>
      </w:r>
      <w:r>
        <w:rPr>
          <w:b/>
          <w:bCs/>
        </w:rPr>
        <w:t xml:space="preserve">product platform</w:t>
      </w:r>
      <w:r>
        <w:t xml:space="preserve"> </w:t>
      </w:r>
      <w:r>
        <w:t xml:space="preserve">end-to-end (system context â†’ containers â†’ pipelines â†’ trust â†’ ops).</w:t>
      </w:r>
    </w:p>
    <w:p>
      <w:pPr>
        <w:pStyle w:val="Compact"/>
        <w:numPr>
          <w:ilvl w:val="0"/>
          <w:numId w:val="1001"/>
        </w:numPr>
      </w:pPr>
      <w:r>
        <w:t xml:space="preserve">Embeds the approved zoom-in diagrams next to the prose they illustrate.</w:t>
      </w:r>
    </w:p>
    <w:p>
      <w:pPr>
        <w:pStyle w:val="Compact"/>
        <w:numPr>
          <w:ilvl w:val="0"/>
          <w:numId w:val="1001"/>
        </w:numPr>
      </w:pPr>
      <w:r>
        <w:t xml:space="preserve">Points to ADRs and library docs for depth without duplicating every runbook.</w:t>
      </w:r>
    </w:p>
    <w:bookmarkEnd w:id="9"/>
    <w:bookmarkStart w:id="10" w:name="assumptions"/>
    <w:p>
      <w:pPr>
        <w:pStyle w:val="Heading2"/>
      </w:pPr>
      <w:r>
        <w:t xml:space="preserve">Assumptions</w:t>
      </w:r>
    </w:p>
    <w:p>
      <w:pPr>
        <w:pStyle w:val="Compact"/>
        <w:numPr>
          <w:ilvl w:val="0"/>
          <w:numId w:val="1002"/>
        </w:numPr>
      </w:pPr>
      <w:r>
        <w:t xml:space="preserve">Azure-first hosting (Container Apps, SQL, private networking) unless a pilot diverges.</w:t>
      </w:r>
    </w:p>
    <w:p>
      <w:pPr>
        <w:pStyle w:val="Compact"/>
        <w:numPr>
          <w:ilvl w:val="0"/>
          <w:numId w:val="1002"/>
        </w:numPr>
      </w:pPr>
      <w:r>
        <w:t xml:space="preserve">Incomplete requirements and imperfect rollout are normal; backlogs stay observable (outboxes, health, metrics).</w:t>
      </w:r>
    </w:p>
    <w:bookmarkEnd w:id="10"/>
    <w:bookmarkStart w:id="11" w:name="constraints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003"/>
        </w:numPr>
      </w:pPr>
      <w:r>
        <w:t xml:space="preserve">No public SMB; storage and queues use private endpoints and managed identity where possible.</w:t>
      </w:r>
    </w:p>
    <w:p>
      <w:pPr>
        <w:pStyle w:val="Compact"/>
        <w:numPr>
          <w:ilvl w:val="0"/>
          <w:numId w:val="1003"/>
        </w:numPr>
      </w:pPr>
      <w:r>
        <w:t xml:space="preserve">Single DDL source per database.</w:t>
      </w:r>
    </w:p>
    <w:p>
      <w:pPr>
        <w:pStyle w:val="Compact"/>
        <w:numPr>
          <w:ilvl w:val="0"/>
          <w:numId w:val="1003"/>
        </w:numPr>
      </w:pPr>
      <w:r>
        <w:t xml:space="preserve">Configuration bridge:</w:t>
      </w:r>
      <w:r>
        <w:t xml:space="preserve"> </w:t>
      </w:r>
      <w:r>
        <w:rPr>
          <w:rStyle w:val="VerbatimChar"/>
        </w:rPr>
        <w:t xml:space="preserve">ArchLucid*</w:t>
      </w:r>
      <w:r>
        <w:t xml:space="preserve"> </w:t>
      </w:r>
      <w:r>
        <w:t xml:space="preserve">keys remain authoritative with legacy overrides until sunset.</w:t>
      </w:r>
    </w:p>
    <w:bookmarkEnd w:id="11"/>
    <w:bookmarkStart w:id="12" w:name="what-this-handbook-is-not"/>
    <w:p>
      <w:pPr>
        <w:pStyle w:val="Heading2"/>
      </w:pPr>
      <w:r>
        <w:t xml:space="preserve">What this handbook is not</w:t>
      </w:r>
    </w:p>
    <w:p>
      <w:pPr>
        <w:pStyle w:val="FirstParagraph"/>
      </w:pPr>
      <w:r>
        <w:t xml:space="preserve">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customer architecture review package. ArchLucid produces those from evidence through the authority pipeline. This handbook is</w:t>
      </w:r>
      <w:r>
        <w:t xml:space="preserve"> </w:t>
      </w:r>
      <w:r>
        <w:rPr>
          <w:b/>
          <w:bCs/>
        </w:rPr>
        <w:t xml:space="preserve">platform documentation</w:t>
      </w:r>
      <w:r>
        <w:t xml:space="preserve"> </w:t>
      </w:r>
      <w:r>
        <w:t xml:space="preserve">maintained in-repo and exported to Word for offline review.</w:t>
      </w:r>
    </w:p>
    <w:bookmarkEnd w:id="12"/>
    <w:bookmarkEnd w:id="13"/>
    <w:bookmarkStart w:id="24" w:name="system-context"/>
    <w:p>
      <w:pPr>
        <w:pStyle w:val="Heading1"/>
      </w:pPr>
      <w:r>
        <w:t xml:space="preserve">1. System context</w:t>
      </w:r>
    </w:p>
    <w:p>
      <w:pPr>
        <w:pStyle w:val="FirstParagraph"/>
      </w:pPr>
      <w:r>
        <w:t xml:space="preserve">ArchLucid turns architecture requests and evidence into versioned packages (golden manifests), decision traces, governance evidence, and exportable artifacts.</w:t>
      </w:r>
    </w:p>
    <w:bookmarkStart w:id="14" w:name="actors"/>
    <w:p>
      <w:pPr>
        <w:pStyle w:val="Heading2"/>
      </w:pPr>
      <w:r>
        <w:t xml:space="preserve">Actors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0"/>
        <w:gridCol w:w="62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How they touch the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Operators / architects</w:t>
            </w:r>
          </w:p>
        </w:tc>
        <w:tc>
          <w:tcPr/>
          <w:p>
            <w:pPr>
              <w:pStyle w:val="Compact"/>
            </w:pPr>
            <w:r>
              <w:t xml:space="preserve">Browser â†’ Architect workspace (Next.js)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Sponsors / evaluators</w:t>
            </w:r>
          </w:p>
        </w:tc>
        <w:tc>
          <w:tcPr/>
          <w:p>
            <w:pPr>
              <w:pStyle w:val="Compact"/>
            </w:pPr>
            <w:r>
              <w:t xml:space="preserve">Same UI; sponsor-oriented views and packages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 / CI automation</w:t>
            </w:r>
          </w:p>
        </w:tc>
        <w:tc>
          <w:tcPr/>
          <w:p>
            <w:pPr>
              <w:pStyle w:val="Compact"/>
            </w:pPr>
            <w:r>
              <w:t xml:space="preserve">HTTPS â†’ API (API key or JWT), optionally via Front Door / APIM</w:t>
            </w:r>
          </w:p>
        </w:tc>
      </w:tr>
    </w:tbl>
    <w:bookmarkEnd w:id="14"/>
    <w:bookmarkStart w:id="18" w:name="diagram-â-system-overview"/>
    <w:p>
      <w:pPr>
        <w:pStyle w:val="Heading2"/>
      </w:pPr>
      <w:r>
        <w:t xml:space="preserve">Diagram â€” system overview</w:t>
      </w:r>
    </w:p>
    <w:p>
      <w:pPr>
        <w:pStyle w:val="CaptionedFigure"/>
      </w:pPr>
      <w:r>
        <w:drawing>
          <wp:inline>
            <wp:extent cx="5334000" cy="2047875"/>
            <wp:effectExtent b="0" l="0" r="0" t="0"/>
            <wp:docPr descr="ArchLucid system overview" title="" id="16" name="Picture"/>
            <a:graphic>
              <a:graphicData uri="http://schemas.openxmlformats.org/drawingml/2006/picture">
                <pic:pic>
                  <pic:nvPicPr>
                    <pic:cNvPr descr="../architecture_diagrams/archlucid-system-overview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7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ArchLucid system overview</w:t>
      </w:r>
    </w:p>
    <w:bookmarkEnd w:id="18"/>
    <w:bookmarkStart w:id="22" w:name="diagram-â-review-happy-path"/>
    <w:p>
      <w:pPr>
        <w:pStyle w:val="Heading2"/>
      </w:pPr>
      <w:r>
        <w:t xml:space="preserve">Diagram â€” review happy path</w:t>
      </w:r>
    </w:p>
    <w:p>
      <w:pPr>
        <w:pStyle w:val="CaptionedFigure"/>
      </w:pPr>
      <w:r>
        <w:drawing>
          <wp:inline>
            <wp:extent cx="5334000" cy="1986642"/>
            <wp:effectExtent b="0" l="0" r="0" t="0"/>
            <wp:docPr descr="ArchLucid review happy path" title="" id="20" name="Picture"/>
            <a:graphic>
              <a:graphicData uri="http://schemas.openxmlformats.org/drawingml/2006/picture">
                <pic:pic>
                  <pic:nvPicPr>
                    <pic:cNvPr descr="../architecture_diagrams/archlucid-review-happy-path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6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ArchLucid review happy path</w:t>
      </w:r>
    </w:p>
    <w:bookmarkEnd w:id="22"/>
    <w:bookmarkStart w:id="23" w:name="trust-edges-summary"/>
    <w:p>
      <w:pPr>
        <w:pStyle w:val="Heading2"/>
      </w:pPr>
      <w:r>
        <w:t xml:space="preserve">Trust edges (summary)</w:t>
      </w:r>
    </w:p>
    <w:p>
      <w:pPr>
        <w:pStyle w:val="Compact"/>
        <w:numPr>
          <w:ilvl w:val="0"/>
          <w:numId w:val="1004"/>
        </w:numPr>
      </w:pPr>
      <w:r>
        <w:t xml:space="preserve">UI proxies to</w:t>
      </w:r>
      <w:r>
        <w:t xml:space="preserve"> </w:t>
      </w:r>
      <w:r>
        <w:rPr>
          <w:rStyle w:val="VerbatimChar"/>
        </w:rPr>
        <w:t xml:space="preserve">ArchLucid.Api</w:t>
      </w:r>
      <w:r>
        <w:t xml:space="preserve"> </w:t>
      </w:r>
      <w:r>
        <w:t xml:space="preserve">with scope and correlation headers.</w:t>
      </w:r>
    </w:p>
    <w:p>
      <w:pPr>
        <w:pStyle w:val="Compact"/>
        <w:numPr>
          <w:ilvl w:val="0"/>
          <w:numId w:val="1004"/>
        </w:numPr>
      </w:pPr>
      <w:r>
        <w:t xml:space="preserve">API authenticates via Entra ID / JWT or API keys (environment-dependent).</w:t>
      </w:r>
    </w:p>
    <w:p>
      <w:pPr>
        <w:pStyle w:val="Compact"/>
        <w:numPr>
          <w:ilvl w:val="0"/>
          <w:numId w:val="1004"/>
        </w:numPr>
      </w:pPr>
      <w:r>
        <w:t xml:space="preserve">Authoritative persistence is SQL Server (database-per-tenant catalogs).</w:t>
      </w:r>
    </w:p>
    <w:p>
      <w:pPr>
        <w:pStyle w:val="Compact"/>
        <w:numPr>
          <w:ilvl w:val="0"/>
          <w:numId w:val="1004"/>
        </w:numPr>
      </w:pPr>
      <w:r>
        <w:t xml:space="preserve">Azure OpenAI, Service Bus, and Blob are optional for live models, integration fan-out, and large artifacts.</w:t>
      </w:r>
    </w:p>
    <w:bookmarkEnd w:id="23"/>
    <w:bookmarkEnd w:id="24"/>
    <w:bookmarkStart w:id="27" w:name="containers-and-domain-libraries"/>
    <w:p>
      <w:pPr>
        <w:pStyle w:val="Heading1"/>
      </w:pPr>
      <w:r>
        <w:t xml:space="preserve">2. Containers and domain libraries</w:t>
      </w:r>
    </w:p>
    <w:bookmarkStart w:id="25" w:name="deployable-containers"/>
    <w:p>
      <w:pPr>
        <w:pStyle w:val="Heading2"/>
      </w:pPr>
      <w:r>
        <w:t xml:space="preserve">Deployable containers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archlucid-ui</w:t>
            </w:r>
          </w:p>
        </w:tc>
        <w:tc>
          <w:tcPr/>
          <w:p>
            <w:pPr>
              <w:pStyle w:val="Compact"/>
            </w:pPr>
            <w:r>
              <w:t xml:space="preserve">Operator / marketing shell; BFF proxy to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ArchLucid.Api</w:t>
            </w:r>
          </w:p>
        </w:tc>
        <w:tc>
          <w:tcPr/>
          <w:p>
            <w:pPr>
              <w:pStyle w:val="Compact"/>
            </w:pPr>
            <w:r>
              <w:t xml:space="preserve">Versioned REST, authZ, orchestration entry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ArchLucid.Worker</w:t>
            </w:r>
          </w:p>
        </w:tc>
        <w:tc>
          <w:tcPr/>
          <w:p>
            <w:pPr>
              <w:pStyle w:val="Compact"/>
            </w:pPr>
            <w:r>
              <w:t xml:space="preserve">Outbox drain, queues, long-running jobs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ArchLucid.Cli</w:t>
            </w:r>
          </w:p>
        </w:tc>
        <w:tc>
          <w:tcPr/>
          <w:p>
            <w:pPr>
              <w:pStyle w:val="Compact"/>
            </w:pPr>
            <w:r>
              <w:t xml:space="preserve">Scripted run lifecycle and graph export</w:t>
            </w:r>
          </w:p>
        </w:tc>
      </w:tr>
    </w:tbl>
    <w:bookmarkEnd w:id="25"/>
    <w:bookmarkStart w:id="26" w:name="major-libraries"/>
    <w:p>
      <w:pPr>
        <w:pStyle w:val="Heading2"/>
      </w:pPr>
      <w:r>
        <w:t xml:space="preserve">Major libraries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50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ArchLucid.Application</w:t>
            </w:r>
          </w:p>
        </w:tc>
        <w:tc>
          <w:tcPr/>
          <w:p>
            <w:pPr>
              <w:pStyle w:val="Compact"/>
            </w:pPr>
            <w:r>
              <w:t xml:space="preserve">Runs, export, replay, analysis orchestration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ArchLucid.Decisioning</w:t>
            </w:r>
          </w:p>
        </w:tc>
        <w:tc>
          <w:tcPr/>
          <w:p>
            <w:pPr>
              <w:pStyle w:val="Compact"/>
            </w:pPr>
            <w:r>
              <w:t xml:space="preserve">Policy packs, merge, governance, schema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ArchLucid.Persistence</w:t>
            </w:r>
          </w:p>
        </w:tc>
        <w:tc>
          <w:tcPr/>
          <w:p>
            <w:pPr>
              <w:pStyle w:val="Compact"/>
            </w:pPr>
            <w:r>
              <w:t xml:space="preserve">Dapper SQL authority + workflow data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ArchLucid.ContextIngestion</w:t>
            </w:r>
          </w:p>
        </w:tc>
        <w:tc>
          <w:tcPr/>
          <w:p>
            <w:pPr>
              <w:pStyle w:val="Compact"/>
            </w:pPr>
            <w:r>
              <w:t xml:space="preserve">Evidence / context pipeline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ArchLucid.KnowledgeGraph</w:t>
            </w:r>
          </w:p>
        </w:tc>
        <w:tc>
          <w:tcPr/>
          <w:p>
            <w:pPr>
              <w:pStyle w:val="Compact"/>
            </w:pPr>
            <w:r>
              <w:t xml:space="preserve">Graph snapshots from 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ArchLucid.ArtifactSynthesis</w:t>
            </w:r>
          </w:p>
        </w:tc>
        <w:tc>
          <w:tcPr/>
          <w:p>
            <w:pPr>
              <w:pStyle w:val="Compact"/>
            </w:pPr>
            <w:r>
              <w:t xml:space="preserve">Artifact generators and packaging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ArchLucid.Retrieval</w:t>
            </w:r>
          </w:p>
        </w:tc>
        <w:tc>
          <w:tcPr/>
          <w:p>
            <w:pPr>
              <w:pStyle w:val="Compact"/>
            </w:pPr>
            <w:r>
              <w:t xml:space="preserve">Embedding / indexing / Ask RAG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ArchLucid.Host.Composition</w:t>
            </w:r>
          </w:p>
        </w:tc>
        <w:tc>
          <w:tcPr/>
          <w:p>
            <w:pPr>
              <w:pStyle w:val="Compact"/>
            </w:pPr>
            <w:r>
              <w:t xml:space="preserve">DI graphs shared by Api and Worker</w:t>
            </w:r>
          </w:p>
        </w:tc>
      </w:tr>
    </w:tbl>
    <w:p>
      <w:pPr>
        <w:pStyle w:val="BodyText"/>
      </w:pPr>
      <w:r>
        <w:t xml:space="preserve">Deep dive:</w:t>
      </w:r>
      <w:r>
        <w:t xml:space="preserve"> </w:t>
      </w:r>
      <w:r>
        <w:rPr>
          <w:rStyle w:val="VerbatimChar"/>
        </w:rPr>
        <w:t xml:space="preserve">docs/library/ARCHITECTURE_CONTAINERS.md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docs/library/ARCHITECTURE_COMPONENTS.md</w:t>
      </w:r>
      <w:r>
        <w:t xml:space="preserve">.</w:t>
      </w:r>
    </w:p>
    <w:bookmarkEnd w:id="26"/>
    <w:bookmarkEnd w:id="27"/>
    <w:bookmarkStart w:id="34" w:name="authority-pipeline"/>
    <w:p>
      <w:pPr>
        <w:pStyle w:val="Heading1"/>
      </w:pPr>
      <w:r>
        <w:t xml:space="preserve">3. Authority pipeline</w:t>
      </w:r>
    </w:p>
    <w:p>
      <w:pPr>
        <w:pStyle w:val="FirstParagraph"/>
      </w:pPr>
      <w:r>
        <w:t xml:space="preserve">Canonical path after</w:t>
      </w:r>
      <w:r>
        <w:t xml:space="preserve"> </w:t>
      </w:r>
      <w:r>
        <w:rPr>
          <w:rStyle w:val="VerbatimChar"/>
        </w:rPr>
        <w:t xml:space="preserve">POST /v1/architecture/request</w:t>
      </w:r>
      <w:r>
        <w:t xml:space="preserve">: persist the run, run or queue</w:t>
      </w:r>
      <w:r>
        <w:t xml:space="preserve"> </w:t>
      </w:r>
      <w:r>
        <w:rPr>
          <w:b/>
          <w:bCs/>
        </w:rPr>
        <w:t xml:space="preserve">AuthorityPipelineStagesExecutor</w:t>
      </w:r>
      <w:r>
        <w:t xml:space="preserve">, then transactional finalize into a golden manifest, decision trace, and outboxes.</w:t>
      </w:r>
    </w:p>
    <w:bookmarkStart w:id="31" w:name="diagram"/>
    <w:p>
      <w:pPr>
        <w:pStyle w:val="Heading2"/>
      </w:pPr>
      <w:r>
        <w:t xml:space="preserve">Diagram</w:t>
      </w:r>
    </w:p>
    <w:p>
      <w:pPr>
        <w:pStyle w:val="CaptionedFigure"/>
      </w:pPr>
      <w:r>
        <w:drawing>
          <wp:inline>
            <wp:extent cx="5334000" cy="537482"/>
            <wp:effectExtent b="0" l="0" r="0" t="0"/>
            <wp:docPr descr="ArchLucid authority pipeline" title="" id="29" name="Picture"/>
            <a:graphic>
              <a:graphicData uri="http://schemas.openxmlformats.org/drawingml/2006/picture">
                <pic:pic>
                  <pic:nvPicPr>
                    <pic:cNvPr descr="../architecture_diagrams/archlucid-authority-pipeline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7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ArchLucid authority pipeline</w:t>
      </w:r>
    </w:p>
    <w:bookmarkEnd w:id="31"/>
    <w:bookmarkStart w:id="32" w:name="stages-opentelemetry"/>
    <w:p>
      <w:pPr>
        <w:pStyle w:val="Heading2"/>
      </w:pPr>
      <w:r>
        <w:t xml:space="preserve">Stages (OpenTelemetry)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Span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ingestion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authority.context_ingestion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graph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authority.graph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authority.findings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authority.decisioning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 synthesis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authority.artifacts</w:t>
            </w:r>
          </w:p>
        </w:tc>
      </w:tr>
    </w:tbl>
    <w:p>
      <w:pPr>
        <w:pStyle w:val="BodyText"/>
      </w:pPr>
      <w:r>
        <w:t xml:space="preserve">Spans carry tag</w:t>
      </w:r>
      <w:r>
        <w:t xml:space="preserve"> </w:t>
      </w:r>
      <w:r>
        <w:rPr>
          <w:rStyle w:val="VerbatimChar"/>
        </w:rPr>
        <w:t xml:space="preserve">archlucid.stage.name</w:t>
      </w:r>
      <w:r>
        <w:t xml:space="preserve"> </w:t>
      </w:r>
      <w:r>
        <w:t xml:space="preserve">for support correlation.</w:t>
      </w:r>
    </w:p>
    <w:bookmarkEnd w:id="32"/>
    <w:bookmarkStart w:id="33" w:name="detail"/>
    <w:p>
      <w:pPr>
        <w:pStyle w:val="Heading2"/>
      </w:pPr>
      <w:r>
        <w:t xml:space="preserve">Detail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docs/library/ARCHITECTURE_FLOWS.md</w:t>
      </w:r>
      <w:r>
        <w:t xml:space="preserve"> </w:t>
      </w:r>
      <w:r>
        <w:t xml:space="preserve">(Flow A0),</w:t>
      </w:r>
      <w:r>
        <w:t xml:space="preserve"> </w:t>
      </w:r>
      <w:r>
        <w:rPr>
          <w:rStyle w:val="VerbatimChar"/>
        </w:rPr>
        <w:t xml:space="preserve">docs/library/CANONICAL_PIPELINE.md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docs/architecture/architecture_diagrams/archlucid-authority-pipeline.md</w:t>
      </w:r>
      <w:r>
        <w:t xml:space="preserve">.</w:t>
      </w:r>
    </w:p>
    <w:bookmarkEnd w:id="33"/>
    <w:bookmarkEnd w:id="34"/>
    <w:bookmarkStart w:id="40" w:name="authority-vs-legacy-coordinator"/>
    <w:p>
      <w:pPr>
        <w:pStyle w:val="Heading1"/>
      </w:pPr>
      <w:r>
        <w:t xml:space="preserve">4. Authority vs legacy coordinator</w:t>
      </w:r>
    </w:p>
    <w:p>
      <w:pPr>
        <w:pStyle w:val="FirstParagraph"/>
      </w:pPr>
      <w:r>
        <w:t xml:space="preserve">Two mental models can produce a golden manifest. Always inspect</w:t>
      </w:r>
      <w:r>
        <w:t xml:space="preserve"> </w:t>
      </w:r>
      <w:r>
        <w:rPr>
          <w:rStyle w:val="VerbatimChar"/>
        </w:rPr>
        <w:t xml:space="preserve">GET /v1/architecture/review/{runId}</w:t>
      </w:r>
      <w:r>
        <w:t xml:space="preserve"> </w:t>
      </w:r>
      <w:r>
        <w:t xml:space="preserve">before calling</w:t>
      </w:r>
      <w:r>
        <w:t xml:space="preserve"> </w:t>
      </w:r>
      <w:r>
        <w:rPr>
          <w:rStyle w:val="VerbatimChar"/>
        </w:rPr>
        <w:t xml:space="preserve">execute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finalize</w:t>
      </w:r>
      <w:r>
        <w:t xml:space="preserve">.</w:t>
      </w:r>
    </w:p>
    <w:bookmarkStart w:id="38" w:name="diagram-1"/>
    <w:p>
      <w:pPr>
        <w:pStyle w:val="Heading2"/>
      </w:pPr>
      <w:r>
        <w:t xml:space="preserve">Diagram</w:t>
      </w:r>
    </w:p>
    <w:p>
      <w:pPr>
        <w:pStyle w:val="CaptionedFigure"/>
      </w:pPr>
      <w:r>
        <w:drawing>
          <wp:inline>
            <wp:extent cx="5334000" cy="8939892"/>
            <wp:effectExtent b="0" l="0" r="0" t="0"/>
            <wp:docPr descr="ArchLucid authority vs coordinator" title="" id="36" name="Picture"/>
            <a:graphic>
              <a:graphicData uri="http://schemas.openxmlformats.org/drawingml/2006/picture">
                <pic:pic>
                  <pic:nvPicPr>
                    <pic:cNvPr descr="../architecture_diagrams/archlucid-authority-vs-coordinator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39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ArchLucid authority vs coordinator</w:t>
      </w:r>
    </w:p>
    <w:bookmarkEnd w:id="38"/>
    <w:bookmarkStart w:id="39" w:name="rule-of-thumb"/>
    <w:p>
      <w:pPr>
        <w:pStyle w:val="Heading2"/>
      </w:pPr>
      <w:r>
        <w:t xml:space="preserve">Rule of thumb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02"/>
        <w:gridCol w:w="30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Observation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Finalized architecture package present</w:t>
            </w:r>
          </w:p>
        </w:tc>
        <w:tc>
          <w:tcPr/>
          <w:p>
            <w:pPr>
              <w:pStyle w:val="Compact"/>
            </w:pPr>
            <w:r>
              <w:t xml:space="preserve">Authority-complete â€” do not drive execute/result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ContextSnapshotId</w:t>
            </w:r>
            <w:r>
              <w:t xml:space="preserve"> </w:t>
            </w:r>
            <w:r>
              <w:t xml:space="preserve">null + async pipeline</w:t>
            </w:r>
          </w:p>
        </w:tc>
        <w:tc>
          <w:tcPr/>
          <w:p>
            <w:pPr>
              <w:pStyle w:val="Compact"/>
            </w:pPr>
            <w:r>
              <w:t xml:space="preserve">Wait for worker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AgentTasks in TasksGenerated / WaitingForResults</w:t>
            </w:r>
          </w:p>
        </w:tc>
        <w:tc>
          <w:tcPr/>
          <w:p>
            <w:pPr>
              <w:pStyle w:val="Compact"/>
            </w:pPr>
            <w:r>
              <w:t xml:space="preserve">Legacy coordinator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Neither</w:t>
            </w:r>
          </w:p>
        </w:tc>
        <w:tc>
          <w:tcPr/>
          <w:p>
            <w:pPr>
              <w:pStyle w:val="Compact"/>
            </w:pPr>
            <w:r>
              <w:t xml:space="preserve">Diagnostics / transitional / failed</w:t>
            </w:r>
          </w:p>
        </w:tc>
      </w:tr>
    </w:tbl>
    <w:p>
      <w:pPr>
        <w:pStyle w:val="BodyText"/>
      </w:pPr>
      <w:r>
        <w:t xml:space="preserve">Contract matrix:</w:t>
      </w:r>
      <w:r>
        <w:t xml:space="preserve"> </w:t>
      </w:r>
      <w:r>
        <w:rPr>
          <w:rStyle w:val="VerbatimChar"/>
        </w:rPr>
        <w:t xml:space="preserve">docs/library/AUTHORITY_VS_AGENTTASK_LOOP_CANONICAL_PATH_CONTRACT.md</w:t>
      </w:r>
      <w:r>
        <w:t xml:space="preserve"> </w:t>
      </w:r>
      <w:r>
        <w:t xml:space="preserve">(TB-1007).</w:t>
      </w:r>
    </w:p>
    <w:bookmarkEnd w:id="39"/>
    <w:bookmarkEnd w:id="40"/>
    <w:bookmarkStart w:id="46" w:name="async-authority-pipeline-and-outboxes"/>
    <w:p>
      <w:pPr>
        <w:pStyle w:val="Heading1"/>
      </w:pPr>
      <w:r>
        <w:t xml:space="preserve">5. Async authority pipeline and outboxes</w:t>
      </w:r>
    </w:p>
    <w:p>
      <w:pPr>
        <w:pStyle w:val="FirstParagraph"/>
      </w:pPr>
      <w:r>
        <w:t xml:space="preserve">On SQL with</w:t>
      </w:r>
      <w:r>
        <w:t xml:space="preserve"> </w:t>
      </w:r>
      <w:r>
        <w:rPr>
          <w:rStyle w:val="VerbatimChar"/>
        </w:rPr>
        <w:t xml:space="preserve">AsyncAuthorityPipeline</w:t>
      </w:r>
      <w:r>
        <w:t xml:space="preserve"> </w:t>
      </w:r>
      <w:r>
        <w:t xml:space="preserve">default-on and an evidence bundle present, pipeline work is enqueued in the</w:t>
      </w:r>
      <w:r>
        <w:t xml:space="preserve"> </w:t>
      </w:r>
      <w:r>
        <w:rPr>
          <w:b/>
          <w:bCs/>
        </w:rPr>
        <w:t xml:space="preserve">same transaction</w:t>
      </w:r>
      <w:r>
        <w:t xml:space="preserve"> </w:t>
      </w:r>
      <w:r>
        <w:t xml:space="preserve">as run create. The Worker completes stages via</w:t>
      </w:r>
      <w:r>
        <w:t xml:space="preserve"> </w:t>
      </w:r>
      <w:r>
        <w:rPr>
          <w:rStyle w:val="VerbatimChar"/>
        </w:rPr>
        <w:t xml:space="preserve">CompleteQueuedAuthorityPipelineAsync</w:t>
      </w:r>
      <w:r>
        <w:t xml:space="preserve">.</w:t>
      </w:r>
    </w:p>
    <w:bookmarkStart w:id="44" w:name="diagram-2"/>
    <w:p>
      <w:pPr>
        <w:pStyle w:val="Heading2"/>
      </w:pPr>
      <w:r>
        <w:t xml:space="preserve">Diagram</w:t>
      </w:r>
    </w:p>
    <w:p>
      <w:pPr>
        <w:pStyle w:val="CaptionedFigure"/>
      </w:pPr>
      <w:r>
        <w:drawing>
          <wp:inline>
            <wp:extent cx="5334000" cy="2653392"/>
            <wp:effectExtent b="0" l="0" r="0" t="0"/>
            <wp:docPr descr="ArchLucid async outbox path" title="" id="42" name="Picture"/>
            <a:graphic>
              <a:graphicData uri="http://schemas.openxmlformats.org/drawingml/2006/picture">
                <pic:pic>
                  <pic:nvPicPr>
                    <pic:cNvPr descr="../architecture_diagrams/archlucid-async-outbox-path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3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ArchLucid async outbox path</w:t>
      </w:r>
    </w:p>
    <w:bookmarkEnd w:id="44"/>
    <w:bookmarkStart w:id="45" w:name="related-outboxes"/>
    <w:p>
      <w:pPr>
        <w:pStyle w:val="Heading2"/>
      </w:pPr>
      <w:r>
        <w:t xml:space="preserve">Related outboxes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Outbox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Authority pipeline work</w:t>
            </w:r>
          </w:p>
        </w:tc>
        <w:tc>
          <w:tcPr/>
          <w:p>
            <w:pPr>
              <w:pStyle w:val="Compact"/>
            </w:pPr>
            <w:r>
              <w:t xml:space="preserve">Durable stage execution after 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Retrieval indexing</w:t>
            </w:r>
          </w:p>
        </w:tc>
        <w:tc>
          <w:tcPr/>
          <w:p>
            <w:pPr>
              <w:pStyle w:val="Compact"/>
            </w:pPr>
            <w:r>
              <w:t xml:space="preserve">Post-commit embedding / index (ADR 0004)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Cosmos graph snapshot</w:t>
            </w:r>
          </w:p>
        </w:tc>
        <w:tc>
          <w:tcPr/>
          <w:p>
            <w:pPr>
              <w:pStyle w:val="Compact"/>
            </w:pPr>
            <w:r>
              <w:t xml:space="preserve">Async graph persistence when enabled (ADR 0038)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events</w:t>
            </w:r>
          </w:p>
        </w:tc>
        <w:tc>
          <w:tcPr/>
          <w:p>
            <w:pPr>
              <w:pStyle w:val="Compact"/>
            </w:pPr>
            <w:r>
              <w:t xml:space="preserve">Downstream / webhook fan-out</w:t>
            </w:r>
          </w:p>
        </w:tc>
      </w:tr>
    </w:tbl>
    <w:p>
      <w:pPr>
        <w:pStyle w:val="BodyText"/>
      </w:pPr>
      <w:r>
        <w:t xml:space="preserve">Local opt-out:</w:t>
      </w:r>
      <w:r>
        <w:t xml:space="preserve"> </w:t>
      </w:r>
      <w:r>
        <w:rPr>
          <w:rStyle w:val="VerbatimChar"/>
        </w:rPr>
        <w:t xml:space="preserve">AsyncAuthorityPipeline: false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appsettings.Advanced.json</w:t>
      </w:r>
      <w:r>
        <w:t xml:space="preserve">. InMemory never queues.</w:t>
      </w:r>
    </w:p>
    <w:bookmarkEnd w:id="45"/>
    <w:bookmarkEnd w:id="46"/>
    <w:bookmarkStart w:id="51" w:name="governance-and-policy-packs"/>
    <w:p>
      <w:pPr>
        <w:pStyle w:val="Heading1"/>
      </w:pPr>
      <w:r>
        <w:t xml:space="preserve">6. Governance and policy packs</w:t>
      </w:r>
    </w:p>
    <w:p>
      <w:pPr>
        <w:pStyle w:val="FirstParagraph"/>
      </w:pPr>
      <w:r>
        <w:t xml:space="preserve">Policy packs are the adaptive brain of governance: rules, alerts, and advisory defaults ship as JSON/YAML and merge hierarchically at tenant, workspace, or project scope. The evaluation engine in</w:t>
      </w:r>
      <w:r>
        <w:t xml:space="preserve"> </w:t>
      </w:r>
      <w:r>
        <w:rPr>
          <w:rStyle w:val="VerbatimChar"/>
        </w:rPr>
        <w:t xml:space="preserve">ArchLucid.Decisioning</w:t>
      </w:r>
      <w:r>
        <w:t xml:space="preserve"> </w:t>
      </w:r>
      <w:r>
        <w:t xml:space="preserve">stays decoupled from framework-specific knowledge.</w:t>
      </w:r>
    </w:p>
    <w:bookmarkStart w:id="50" w:name="diagram-3"/>
    <w:p>
      <w:pPr>
        <w:pStyle w:val="Heading2"/>
      </w:pPr>
      <w:r>
        <w:t xml:space="preserve">Diagram</w:t>
      </w:r>
    </w:p>
    <w:p>
      <w:pPr>
        <w:pStyle w:val="CaptionedFigure"/>
      </w:pPr>
      <w:r>
        <w:drawing>
          <wp:inline>
            <wp:extent cx="5334000" cy="8347982"/>
            <wp:effectExtent b="0" l="0" r="0" t="0"/>
            <wp:docPr descr="Governance and policy packs" title="" id="48" name="Picture"/>
            <a:graphic>
              <a:graphicData uri="http://schemas.openxmlformats.org/drawingml/2006/picture">
                <pic:pic>
                  <pic:nvPicPr>
                    <pic:cNvPr descr="../architecture_diagrams/archlucid-governance-policy-packs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47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Governance and policy packs</w:t>
      </w:r>
    </w:p>
    <w:p>
      <w:pPr>
        <w:pStyle w:val="BodyText"/>
      </w:pPr>
      <w:r>
        <w:t xml:space="preserve">Content velocity: LLM draft â†’ critic â†’ human SME. See</w:t>
      </w:r>
      <w:r>
        <w:t xml:space="preserve"> </w:t>
      </w:r>
      <w:r>
        <w:rPr>
          <w:rStyle w:val="VerbatimChar"/>
        </w:rPr>
        <w:t xml:space="preserve">docs/library/POLICY_PACK_CONTENT_BACKLOG.md</w:t>
      </w:r>
      <w:r>
        <w:t xml:space="preserve">.</w:t>
      </w:r>
    </w:p>
    <w:bookmarkEnd w:id="50"/>
    <w:bookmarkEnd w:id="51"/>
    <w:bookmarkStart w:id="56" w:name="tenant-isolation"/>
    <w:p>
      <w:pPr>
        <w:pStyle w:val="Heading1"/>
      </w:pPr>
      <w:r>
        <w:t xml:space="preserve">7. Tenant isolation</w:t>
      </w:r>
    </w:p>
    <w:p>
      <w:pPr>
        <w:pStyle w:val="FirstParagraph"/>
      </w:pPr>
      <w:r>
        <w:rPr>
          <w:b/>
          <w:bCs/>
        </w:rPr>
        <w:t xml:space="preserve">Normative model (ADR 0037):</w:t>
      </w:r>
      <w:r>
        <w:t xml:space="preserve"> </w:t>
      </w:r>
      <w:r>
        <w:t xml:space="preserve">production isolation is</w:t>
      </w:r>
      <w:r>
        <w:t xml:space="preserve"> </w:t>
      </w:r>
      <w:r>
        <w:rPr>
          <w:b/>
          <w:bCs/>
        </w:rPr>
        <w:t xml:space="preserve">database-per-tenant catalogs</w:t>
      </w:r>
      <w:r>
        <w:t xml:space="preserve">, not SQL RLS. Workspace and project are organizational dimensions within a catalog, not paying-client security boundaries.</w:t>
      </w:r>
      <w:r>
        <w:t xml:space="preserve"> </w:t>
      </w:r>
      <w:r>
        <w:rPr>
          <w:rStyle w:val="VerbatimChar"/>
        </w:rPr>
        <w:t xml:space="preserve">SingleCatalog</w:t>
      </w:r>
      <w:r>
        <w:t xml:space="preserve"> </w:t>
      </w:r>
      <w:r>
        <w:t xml:space="preserve">is fail-fast in production-like hosts.</w:t>
      </w:r>
    </w:p>
    <w:bookmarkStart w:id="55" w:name="diagram-4"/>
    <w:p>
      <w:pPr>
        <w:pStyle w:val="Heading2"/>
      </w:pPr>
      <w:r>
        <w:t xml:space="preserve">Diagram</w:t>
      </w:r>
    </w:p>
    <w:p>
      <w:pPr>
        <w:pStyle w:val="CaptionedFigure"/>
      </w:pPr>
      <w:r>
        <w:drawing>
          <wp:inline>
            <wp:extent cx="5334000" cy="6000750"/>
            <wp:effectExtent b="0" l="0" r="0" t="0"/>
            <wp:docPr descr="Tenant isolation" title="" id="53" name="Picture"/>
            <a:graphic>
              <a:graphicData uri="http://schemas.openxmlformats.org/drawingml/2006/picture">
                <pic:pic>
                  <pic:nvPicPr>
                    <pic:cNvPr descr="../architecture_diagrams/archlucid-tenant-isolation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00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Tenant isolation</w:t>
      </w:r>
    </w:p>
    <w:p>
      <w:pPr>
        <w:pStyle w:val="BodyText"/>
      </w:pPr>
      <w:r>
        <w:t xml:space="preserve">Trusted scope on production-like hosts comes from JWT/API-key claims or ambient job override â€” not from</w:t>
      </w:r>
      <w:r>
        <w:t xml:space="preserve"> </w:t>
      </w:r>
      <w:r>
        <w:rPr>
          <w:rStyle w:val="VerbatimChar"/>
        </w:rPr>
        <w:t xml:space="preserve">x-tenant-id</w:t>
      </w:r>
      <w:r>
        <w:t xml:space="preserve"> </w:t>
      </w:r>
      <w:r>
        <w:t xml:space="preserve">headers alone. See</w:t>
      </w:r>
      <w:r>
        <w:t xml:space="preserve"> </w:t>
      </w:r>
      <w:r>
        <w:rPr>
          <w:rStyle w:val="VerbatimChar"/>
        </w:rPr>
        <w:t xml:space="preserve">docs/security/TENANT_ISOLATION_DEFENSE_IN_DEPTH.md</w:t>
      </w:r>
      <w:r>
        <w:t xml:space="preserve">.</w:t>
      </w:r>
    </w:p>
    <w:bookmarkEnd w:id="55"/>
    <w:bookmarkEnd w:id="56"/>
    <w:bookmarkStart w:id="61" w:name="azure-deployment-topology"/>
    <w:p>
      <w:pPr>
        <w:pStyle w:val="Heading1"/>
      </w:pPr>
      <w:r>
        <w:t xml:space="preserve">8. Azure deployment topology</w:t>
      </w:r>
    </w:p>
    <w:p>
      <w:pPr>
        <w:pStyle w:val="FirstParagraph"/>
      </w:pPr>
      <w:r>
        <w:t xml:space="preserve">Terraform under</w:t>
      </w:r>
      <w:r>
        <w:t xml:space="preserve"> </w:t>
      </w:r>
      <w:r>
        <w:rPr>
          <w:rStyle w:val="VerbatimChar"/>
        </w:rPr>
        <w:t xml:space="preserve">infra/</w:t>
      </w:r>
      <w:r>
        <w:t xml:space="preserve"> </w:t>
      </w:r>
      <w:r>
        <w:t xml:space="preserve">is the IaC source of truth. Workloads typically run as Container Apps (Api + Worker) against Azure SQL with per-tenant catalogs, Key Vault / managed identity, optional Front Door/APIM, Service Bus, Blob, OpenAI, Redis, and Cosmos.</w:t>
      </w:r>
    </w:p>
    <w:bookmarkStart w:id="60" w:name="diagram-5"/>
    <w:p>
      <w:pPr>
        <w:pStyle w:val="Heading2"/>
      </w:pPr>
      <w:r>
        <w:t xml:space="preserve">Diagram</w:t>
      </w:r>
    </w:p>
    <w:p>
      <w:pPr>
        <w:pStyle w:val="CaptionedFigure"/>
      </w:pPr>
      <w:r>
        <w:drawing>
          <wp:inline>
            <wp:extent cx="5334000" cy="1564821"/>
            <wp:effectExtent b="0" l="0" r="0" t="0"/>
            <wp:docPr descr="Azure topology" title="" id="58" name="Picture"/>
            <a:graphic>
              <a:graphicData uri="http://schemas.openxmlformats.org/drawingml/2006/picture">
                <pic:pic>
                  <pic:nvPicPr>
                    <pic:cNvPr descr="../architecture_diagrams/archlucid-azure-topology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4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Azure topology</w:t>
      </w:r>
    </w:p>
    <w:p>
      <w:pPr>
        <w:pStyle w:val="BodyText"/>
      </w:pPr>
      <w:r>
        <w:t xml:space="preserve">SQL schema is applied by the application host (DbUp), not inline Terraform scripts. Map of roots:</w:t>
      </w:r>
      <w:r>
        <w:t xml:space="preserve"> </w:t>
      </w:r>
      <w:r>
        <w:rPr>
          <w:rStyle w:val="VerbatimChar"/>
        </w:rPr>
        <w:t xml:space="preserve">docs/library/DEPLOYMENT_TERRAFORM.md</w:t>
      </w:r>
      <w:r>
        <w:t xml:space="preserve">.</w:t>
      </w:r>
    </w:p>
    <w:bookmarkEnd w:id="60"/>
    <w:bookmarkEnd w:id="61"/>
    <w:bookmarkStart w:id="66" w:name="security-model"/>
    <w:p>
      <w:pPr>
        <w:pStyle w:val="Heading1"/>
      </w:pPr>
      <w:r>
        <w:t xml:space="preserve">9. Security model</w:t>
      </w:r>
    </w:p>
    <w:p>
      <w:pPr>
        <w:pStyle w:val="FirstParagraph"/>
      </w:pPr>
      <w:r>
        <w:t xml:space="preserve">Default deny on API controllers; Entra JWT or API keys; claims-based policies; production fail-closed on unsafe CORS, webhook HMAC gaps, billing misconfiguration, and</w:t>
      </w:r>
      <w:r>
        <w:t xml:space="preserve"> </w:t>
      </w:r>
      <w:r>
        <w:rPr>
          <w:rStyle w:val="VerbatimChar"/>
        </w:rPr>
        <w:t xml:space="preserve">SingleCatalog</w:t>
      </w:r>
      <w:r>
        <w:t xml:space="preserve">.</w:t>
      </w:r>
    </w:p>
    <w:bookmarkStart w:id="65" w:name="diagram-6"/>
    <w:p>
      <w:pPr>
        <w:pStyle w:val="Heading2"/>
      </w:pPr>
      <w:r>
        <w:t xml:space="preserve">Diagram</w:t>
      </w:r>
    </w:p>
    <w:p>
      <w:pPr>
        <w:pStyle w:val="CaptionedFigure"/>
      </w:pPr>
      <w:r>
        <w:drawing>
          <wp:inline>
            <wp:extent cx="5334000" cy="4769303"/>
            <wp:effectExtent b="0" l="0" r="0" t="0"/>
            <wp:docPr descr="Security model" title="" id="63" name="Picture"/>
            <a:graphic>
              <a:graphicData uri="http://schemas.openxmlformats.org/drawingml/2006/picture">
                <pic:pic>
                  <pic:nvPicPr>
                    <pic:cNvPr descr="../architecture_diagrams/archlucid-security-model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69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Security model</w:t>
      </w:r>
    </w:p>
    <w:p>
      <w:pPr>
        <w:pStyle w:val="BodyText"/>
      </w:pPr>
      <w:r>
        <w:t xml:space="preserve">Secrets prefer Key Vault and managed identity. See also tenant isolation (chapter 7) and</w:t>
      </w:r>
      <w:r>
        <w:t xml:space="preserve"> </w:t>
      </w:r>
      <w:r>
        <w:rPr>
          <w:rStyle w:val="VerbatimChar"/>
        </w:rPr>
        <w:t xml:space="preserve">docs/ARCHITECTURE_ON_ONE_PAGE.md</w:t>
      </w:r>
      <w:r>
        <w:t xml:space="preserve"> </w:t>
      </w:r>
      <w:r>
        <w:t xml:space="preserve">Â§7.</w:t>
      </w:r>
    </w:p>
    <w:bookmarkEnd w:id="65"/>
    <w:bookmarkEnd w:id="66"/>
    <w:bookmarkStart w:id="71" w:name="data-and-persistence"/>
    <w:p>
      <w:pPr>
        <w:pStyle w:val="Heading1"/>
      </w:pPr>
      <w:r>
        <w:t xml:space="preserve">10. Data and persistence</w:t>
      </w:r>
    </w:p>
    <w:p>
      <w:pPr>
        <w:pStyle w:val="FirstParagraph"/>
      </w:pPr>
      <w:r>
        <w:t xml:space="preserve">Workflow Dapper repositories (</w:t>
      </w:r>
      <w:r>
        <w:rPr>
          <w:rStyle w:val="VerbatimChar"/>
        </w:rPr>
        <w:t xml:space="preserve">Persistence.Data.*</w:t>
      </w:r>
      <w:r>
        <w:t xml:space="preserve">) and authority persistence (manifests, traces, UoW, outboxes) share SQL catalogs routed per tenant. One DDL source per database; forward-only migrations.</w:t>
      </w:r>
    </w:p>
    <w:bookmarkStart w:id="70" w:name="net-project-graph"/>
    <w:p>
      <w:pPr>
        <w:pStyle w:val="Heading2"/>
      </w:pPr>
      <w:r>
        <w:t xml:space="preserve">.NET project graph</w:t>
      </w:r>
    </w:p>
    <w:p>
      <w:pPr>
        <w:pStyle w:val="CaptionedFigure"/>
      </w:pPr>
      <w:r>
        <w:drawing>
          <wp:inline>
            <wp:extent cx="5334000" cy="3401785"/>
            <wp:effectExtent b="0" l="0" r="0" t="0"/>
            <wp:docPr descr=".NET project graph" title="" id="68" name="Picture"/>
            <a:graphic>
              <a:graphicData uri="http://schemas.openxmlformats.org/drawingml/2006/picture">
                <pic:pic>
                  <pic:nvPicPr>
                    <pic:cNvPr descr="../architecture_diagrams/archlucid-dotnet-project-graph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1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.NET project graph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docs/library/DATA_MODEL.md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docs/library/ARCHITECTURE_COMPONENTS.md</w:t>
      </w:r>
      <w:r>
        <w:t xml:space="preserve">.</w:t>
      </w:r>
    </w:p>
    <w:bookmarkEnd w:id="70"/>
    <w:bookmarkEnd w:id="71"/>
    <w:bookmarkStart w:id="76" w:name="operator-ui-shell"/>
    <w:p>
      <w:pPr>
        <w:pStyle w:val="Heading1"/>
      </w:pPr>
      <w:r>
        <w:t xml:space="preserve">11. Operator UI shell</w:t>
      </w:r>
    </w:p>
    <w:p>
      <w:pPr>
        <w:pStyle w:val="FirstParagraph"/>
      </w:pPr>
      <w:r>
        <w:t xml:space="preserve">Next.js app under</w:t>
      </w:r>
      <w:r>
        <w:t xml:space="preserve"> </w:t>
      </w:r>
      <w:r>
        <w:rPr>
          <w:rStyle w:val="VerbatimChar"/>
        </w:rPr>
        <w:t xml:space="preserve">archlucid-ui/</w:t>
      </w:r>
      <w:r>
        <w:t xml:space="preserve">: marketing vs operator shell, server BFF proxy with scope and correlation headers, heavy clients deferred off hot paths.</w:t>
      </w:r>
    </w:p>
    <w:bookmarkStart w:id="75" w:name="diagram-7"/>
    <w:p>
      <w:pPr>
        <w:pStyle w:val="Heading2"/>
      </w:pPr>
      <w:r>
        <w:t xml:space="preserve">Diagram</w:t>
      </w:r>
    </w:p>
    <w:p>
      <w:pPr>
        <w:pStyle w:val="CaptionedFigure"/>
      </w:pPr>
      <w:r>
        <w:drawing>
          <wp:inline>
            <wp:extent cx="5334000" cy="4071755"/>
            <wp:effectExtent b="0" l="0" r="0" t="0"/>
            <wp:docPr descr="Operator UI shell" title="" id="73" name="Picture"/>
            <a:graphic>
              <a:graphicData uri="http://schemas.openxmlformats.org/drawingml/2006/picture">
                <pic:pic>
                  <pic:nvPicPr>
                    <pic:cNvPr descr="../architecture_diagrams/archlucid-operator-ui-shell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1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Operator UI shell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archlucid-ui/docs/ARCHITECTURE.md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docs/library/operator-shell.md</w:t>
      </w:r>
      <w:r>
        <w:t xml:space="preserve">.</w:t>
      </w:r>
    </w:p>
    <w:bookmarkEnd w:id="75"/>
    <w:bookmarkEnd w:id="76"/>
    <w:bookmarkStart w:id="101" w:name="Xe864481361a8accea9f1189e0e71dd892d069a3"/>
    <w:p>
      <w:pPr>
        <w:pStyle w:val="Heading1"/>
      </w:pPr>
      <w:r>
        <w:t xml:space="preserve">12. Exports, comparisons, synthesis, retrieval, and integrations</w:t>
      </w:r>
    </w:p>
    <w:bookmarkStart w:id="80" w:name="export-and-replay"/>
    <w:p>
      <w:pPr>
        <w:pStyle w:val="Heading2"/>
      </w:pPr>
      <w:r>
        <w:t xml:space="preserve">Export and replay</w:t>
      </w:r>
    </w:p>
    <w:p>
      <w:pPr>
        <w:pStyle w:val="CaptionedFigure"/>
      </w:pPr>
      <w:r>
        <w:drawing>
          <wp:inline>
            <wp:extent cx="5334000" cy="483053"/>
            <wp:effectExtent b="0" l="0" r="0" t="0"/>
            <wp:docPr descr="Export and replay" title="" id="78" name="Picture"/>
            <a:graphic>
              <a:graphicData uri="http://schemas.openxmlformats.org/drawingml/2006/picture">
                <pic:pic>
                  <pic:nvPicPr>
                    <pic:cNvPr descr="../architecture_diagrams/archlucid-export-replay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3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Export and replay</w:t>
      </w:r>
    </w:p>
    <w:bookmarkEnd w:id="80"/>
    <w:bookmarkStart w:id="84" w:name="comparison-and-drift"/>
    <w:p>
      <w:pPr>
        <w:pStyle w:val="Heading2"/>
      </w:pPr>
      <w:r>
        <w:t xml:space="preserve">Comparison and drift</w:t>
      </w:r>
    </w:p>
    <w:p>
      <w:pPr>
        <w:pStyle w:val="CaptionedFigure"/>
      </w:pPr>
      <w:r>
        <w:drawing>
          <wp:inline>
            <wp:extent cx="5334000" cy="6497177"/>
            <wp:effectExtent b="0" l="0" r="0" t="0"/>
            <wp:docPr descr="Comparison and drift" title="" id="82" name="Picture"/>
            <a:graphic>
              <a:graphicData uri="http://schemas.openxmlformats.org/drawingml/2006/picture">
                <pic:pic>
                  <pic:nvPicPr>
                    <pic:cNvPr descr="../architecture_diagrams/archlucid-comparison-drift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97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Comparison and drift</w:t>
      </w:r>
    </w:p>
    <w:bookmarkEnd w:id="84"/>
    <w:bookmarkStart w:id="88" w:name="artifact-synthesis"/>
    <w:p>
      <w:pPr>
        <w:pStyle w:val="Heading2"/>
      </w:pPr>
      <w:r>
        <w:t xml:space="preserve">Artifact synthesis</w:t>
      </w:r>
    </w:p>
    <w:p>
      <w:pPr>
        <w:pStyle w:val="CaptionedFigure"/>
      </w:pPr>
      <w:r>
        <w:drawing>
          <wp:inline>
            <wp:extent cx="5334000" cy="292553"/>
            <wp:effectExtent b="0" l="0" r="0" t="0"/>
            <wp:docPr descr="Artifact synthesis" title="" id="86" name="Picture"/>
            <a:graphic>
              <a:graphicData uri="http://schemas.openxmlformats.org/drawingml/2006/picture">
                <pic:pic>
                  <pic:nvPicPr>
                    <pic:cNvPr descr="../architecture_diagrams/archlucid-artifact-synthesis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Artifact synthesis</w:t>
      </w:r>
    </w:p>
    <w:bookmarkEnd w:id="88"/>
    <w:bookmarkStart w:id="92" w:name="retrieval-rag"/>
    <w:p>
      <w:pPr>
        <w:pStyle w:val="Heading2"/>
      </w:pPr>
      <w:r>
        <w:t xml:space="preserve">Retrieval / RAG</w:t>
      </w:r>
    </w:p>
    <w:p>
      <w:pPr>
        <w:pStyle w:val="CaptionedFigure"/>
      </w:pPr>
      <w:r>
        <w:drawing>
          <wp:inline>
            <wp:extent cx="5334000" cy="1251857"/>
            <wp:effectExtent b="0" l="0" r="0" t="0"/>
            <wp:docPr descr="Retrieval RAG" title="" id="90" name="Picture"/>
            <a:graphic>
              <a:graphicData uri="http://schemas.openxmlformats.org/drawingml/2006/picture">
                <pic:pic>
                  <pic:nvPicPr>
                    <pic:cNvPr descr="../architecture_diagrams/archlucid-retrieval-rag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1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Retrieval RAG</w:t>
      </w:r>
    </w:p>
    <w:bookmarkEnd w:id="92"/>
    <w:bookmarkStart w:id="96" w:name="integrations-itsm"/>
    <w:p>
      <w:pPr>
        <w:pStyle w:val="Heading2"/>
      </w:pPr>
      <w:r>
        <w:t xml:space="preserve">Integrations / ITSM</w:t>
      </w:r>
    </w:p>
    <w:p>
      <w:pPr>
        <w:pStyle w:val="CaptionedFigure"/>
      </w:pPr>
      <w:r>
        <w:drawing>
          <wp:inline>
            <wp:extent cx="5334000" cy="7588194"/>
            <wp:effectExtent b="0" l="0" r="0" t="0"/>
            <wp:docPr descr="Integrations ITSM" title="" id="94" name="Picture"/>
            <a:graphic>
              <a:graphicData uri="http://schemas.openxmlformats.org/drawingml/2006/picture">
                <pic:pic>
                  <pic:nvPicPr>
                    <pic:cNvPr descr="../architecture_diagrams/archlucid-integrations-itsm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88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Integrations ITSM</w:t>
      </w:r>
    </w:p>
    <w:bookmarkEnd w:id="96"/>
    <w:bookmarkStart w:id="100" w:name="first-run-pilot-path"/>
    <w:p>
      <w:pPr>
        <w:pStyle w:val="Heading2"/>
      </w:pPr>
      <w:r>
        <w:t xml:space="preserve">First-run pilot path</w:t>
      </w:r>
    </w:p>
    <w:p>
      <w:pPr>
        <w:pStyle w:val="CaptionedFigure"/>
      </w:pPr>
      <w:r>
        <w:drawing>
          <wp:inline>
            <wp:extent cx="5334000" cy="285750"/>
            <wp:effectExtent b="0" l="0" r="0" t="0"/>
            <wp:docPr descr="First-run pilot" title="" id="98" name="Picture"/>
            <a:graphic>
              <a:graphicData uri="http://schemas.openxmlformats.org/drawingml/2006/picture">
                <pic:pic>
                  <pic:nvPicPr>
                    <pic:cNvPr descr="../architecture_diagrams/archlucid-first-run-pilot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First-run pilot</w:t>
      </w:r>
    </w:p>
    <w:p>
      <w:pPr>
        <w:pStyle w:val="BodyText"/>
      </w:pPr>
      <w:r>
        <w:t xml:space="preserve">Deep dives:</w:t>
      </w:r>
      <w:r>
        <w:t xml:space="preserve"> </w:t>
      </w:r>
      <w:r>
        <w:rPr>
          <w:rStyle w:val="VerbatimChar"/>
        </w:rPr>
        <w:t xml:space="preserve">docs/library/ARCHITECTURE_FLOWS.md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COMPARISON_REPLAY.md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INTEGRATION_EVENTS_AND_WEBHOOKS.md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CANONICAL_FIRST_RUN_PATH.md</w:t>
      </w:r>
      <w:r>
        <w:t xml:space="preserve">.</w:t>
      </w:r>
    </w:p>
    <w:bookmarkEnd w:id="100"/>
    <w:bookmarkEnd w:id="101"/>
    <w:bookmarkStart w:id="123" w:name="authority-pipeline-stage-zoom-ins"/>
    <w:p>
      <w:pPr>
        <w:pStyle w:val="Heading1"/>
      </w:pPr>
      <w:r>
        <w:t xml:space="preserve">13. Authority pipeline stage zoom-ins</w:t>
      </w:r>
    </w:p>
    <w:p>
      <w:pPr>
        <w:pStyle w:val="FirstParagraph"/>
      </w:pPr>
      <w:r>
        <w:t xml:space="preserve">Each authority stage emits an OpenTelemetry span with tag</w:t>
      </w:r>
      <w:r>
        <w:t xml:space="preserve"> </w:t>
      </w:r>
      <w:r>
        <w:rPr>
          <w:rStyle w:val="VerbatimChar"/>
        </w:rPr>
        <w:t xml:space="preserve">archlucid.stage.name</w:t>
      </w:r>
      <w:r>
        <w:t xml:space="preserve">. Queued and inline paths share the same stage executor.</w:t>
      </w:r>
    </w:p>
    <w:bookmarkStart w:id="105" w:name="context-ingestion"/>
    <w:p>
      <w:pPr>
        <w:pStyle w:val="Heading2"/>
      </w:pPr>
      <w:r>
        <w:t xml:space="preserve">Context ingestion</w:t>
      </w:r>
    </w:p>
    <w:p>
      <w:pPr>
        <w:pStyle w:val="CaptionedFigure"/>
      </w:pPr>
      <w:r>
        <w:drawing>
          <wp:inline>
            <wp:extent cx="5334000" cy="1911803"/>
            <wp:effectExtent b="0" l="0" r="0" t="0"/>
            <wp:docPr descr="Context ingestion stage" title="" id="103" name="Picture"/>
            <a:graphic>
              <a:graphicData uri="http://schemas.openxmlformats.org/drawingml/2006/picture">
                <pic:pic>
                  <pic:nvPicPr>
                    <pic:cNvPr descr="../architecture_diagrams/archlucid-stage-context-ingestion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1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Context ingestion stage</w:t>
      </w:r>
    </w:p>
    <w:bookmarkEnd w:id="105"/>
    <w:bookmarkStart w:id="109" w:name="knowledge-graph"/>
    <w:p>
      <w:pPr>
        <w:pStyle w:val="Heading2"/>
      </w:pPr>
      <w:r>
        <w:t xml:space="preserve">Knowledge graph</w:t>
      </w:r>
    </w:p>
    <w:p>
      <w:pPr>
        <w:pStyle w:val="CaptionedFigure"/>
      </w:pPr>
      <w:r>
        <w:drawing>
          <wp:inline>
            <wp:extent cx="5334000" cy="1653267"/>
            <wp:effectExtent b="0" l="0" r="0" t="0"/>
            <wp:docPr descr="Knowledge graph stage" title="" id="107" name="Picture"/>
            <a:graphic>
              <a:graphicData uri="http://schemas.openxmlformats.org/drawingml/2006/picture">
                <pic:pic>
                  <pic:nvPicPr>
                    <pic:cNvPr descr="../architecture_diagrams/archlucid-stage-knowledge-graph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3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Knowledge graph stage</w:t>
      </w:r>
    </w:p>
    <w:bookmarkEnd w:id="109"/>
    <w:bookmarkStart w:id="113" w:name="findings"/>
    <w:p>
      <w:pPr>
        <w:pStyle w:val="Heading2"/>
      </w:pPr>
      <w:r>
        <w:t xml:space="preserve">Findings</w:t>
      </w:r>
    </w:p>
    <w:p>
      <w:pPr>
        <w:pStyle w:val="CaptionedFigure"/>
      </w:pPr>
      <w:r>
        <w:drawing>
          <wp:inline>
            <wp:extent cx="5334000" cy="1666875"/>
            <wp:effectExtent b="0" l="0" r="0" t="0"/>
            <wp:docPr descr="Findings stage" title="" id="111" name="Picture"/>
            <a:graphic>
              <a:graphicData uri="http://schemas.openxmlformats.org/drawingml/2006/picture">
                <pic:pic>
                  <pic:nvPicPr>
                    <pic:cNvPr descr="../architecture_diagrams/archlucid-stage-findings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Findings stage</w:t>
      </w:r>
    </w:p>
    <w:bookmarkEnd w:id="113"/>
    <w:bookmarkStart w:id="117" w:name="decisioning"/>
    <w:p>
      <w:pPr>
        <w:pStyle w:val="Heading2"/>
      </w:pPr>
      <w:r>
        <w:t xml:space="preserve">Decisioning</w:t>
      </w:r>
    </w:p>
    <w:p>
      <w:pPr>
        <w:pStyle w:val="CaptionedFigure"/>
      </w:pPr>
      <w:r>
        <w:drawing>
          <wp:inline>
            <wp:extent cx="5334000" cy="1612446"/>
            <wp:effectExtent b="0" l="0" r="0" t="0"/>
            <wp:docPr descr="Decisioning stage" title="" id="115" name="Picture"/>
            <a:graphic>
              <a:graphicData uri="http://schemas.openxmlformats.org/drawingml/2006/picture">
                <pic:pic>
                  <pic:nvPicPr>
                    <pic:cNvPr descr="../architecture_diagrams/archlucid-stage-decisioning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2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Decisioning stage</w:t>
      </w:r>
    </w:p>
    <w:bookmarkEnd w:id="117"/>
    <w:bookmarkStart w:id="121" w:name="artifacts-and-finalize"/>
    <w:p>
      <w:pPr>
        <w:pStyle w:val="Heading2"/>
      </w:pPr>
      <w:r>
        <w:t xml:space="preserve">Artifacts and finalize</w:t>
      </w:r>
    </w:p>
    <w:p>
      <w:pPr>
        <w:pStyle w:val="CaptionedFigure"/>
      </w:pPr>
      <w:r>
        <w:drawing>
          <wp:inline>
            <wp:extent cx="5334000" cy="1830160"/>
            <wp:effectExtent b="0" l="0" r="0" t="0"/>
            <wp:docPr descr="Artifacts and finalize" title="" id="119" name="Picture"/>
            <a:graphic>
              <a:graphicData uri="http://schemas.openxmlformats.org/drawingml/2006/picture">
                <pic:pic>
                  <pic:nvPicPr>
                    <pic:cNvPr descr="../architecture_diagrams/archlucid-stage-artifacts-finalize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0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Artifacts and finalize</w:t>
      </w:r>
    </w:p>
    <w:bookmarkEnd w:id="121"/>
    <w:bookmarkStart w:id="122" w:name="detail-1"/>
    <w:p>
      <w:pPr>
        <w:pStyle w:val="Heading2"/>
      </w:pPr>
      <w:r>
        <w:t xml:space="preserve">Detail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docs/library/CANONICAL_PIPELINE.md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docs/library/BACKGROUND_JOB_CORRELATION.md</w:t>
      </w:r>
      <w:r>
        <w:t xml:space="preserve">, and diagram companions under</w:t>
      </w:r>
      <w:r>
        <w:t xml:space="preserve"> </w:t>
      </w:r>
      <w:r>
        <w:rPr>
          <w:rStyle w:val="VerbatimChar"/>
        </w:rPr>
        <w:t xml:space="preserve">docs/architecture/architecture_diagrams/</w:t>
      </w:r>
      <w:r>
        <w:t xml:space="preserve">.</w:t>
      </w:r>
    </w:p>
    <w:bookmarkEnd w:id="122"/>
    <w:bookmarkEnd w:id="123"/>
    <w:bookmarkStart w:id="133" w:name="X3845f4a750dd9115eed903d33e8d72f2beae6a3"/>
    <w:p>
      <w:pPr>
        <w:pStyle w:val="Heading1"/>
      </w:pPr>
      <w:r>
        <w:t xml:space="preserve">14. Failure resilience and failover continuity</w:t>
      </w:r>
    </w:p>
    <w:bookmarkStart w:id="127" w:name="failure-resilience"/>
    <w:p>
      <w:pPr>
        <w:pStyle w:val="Heading2"/>
      </w:pPr>
      <w:r>
        <w:t xml:space="preserve">Failure resilience</w:t>
      </w:r>
    </w:p>
    <w:p>
      <w:pPr>
        <w:pStyle w:val="FirstParagraph"/>
      </w:pPr>
      <w:r>
        <w:t xml:space="preserve">Authority create enlists pipeline outbox work in the</w:t>
      </w:r>
      <w:r>
        <w:t xml:space="preserve"> </w:t>
      </w:r>
      <w:r>
        <w:rPr>
          <w:b/>
          <w:bCs/>
        </w:rPr>
        <w:t xml:space="preserve">same SQL transaction</w:t>
      </w:r>
      <w:r>
        <w:t xml:space="preserve"> </w:t>
      </w:r>
      <w:r>
        <w:t xml:space="preserve">as the run header (ADR 0038). Worker completion retries follow orchestrator and hosted-service lease semantics; Cosmos graph snapshots are eventually consistent projections of SQL authority.</w:t>
      </w:r>
    </w:p>
    <w:p>
      <w:pPr>
        <w:pStyle w:val="CaptionedFigure"/>
      </w:pPr>
      <w:r>
        <w:drawing>
          <wp:inline>
            <wp:extent cx="5334000" cy="272142"/>
            <wp:effectExtent b="0" l="0" r="0" t="0"/>
            <wp:docPr descr="Failure resilience" title="" id="125" name="Picture"/>
            <a:graphic>
              <a:graphicData uri="http://schemas.openxmlformats.org/drawingml/2006/picture">
                <pic:pic>
                  <pic:nvPicPr>
                    <pic:cNvPr descr="../architecture_diagrams/archlucid-failure-resilience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Failure resilience</w:t>
      </w:r>
    </w:p>
    <w:bookmarkEnd w:id="127"/>
    <w:bookmarkStart w:id="131" w:name="failover-continuity"/>
    <w:p>
      <w:pPr>
        <w:pStyle w:val="Heading2"/>
      </w:pPr>
      <w:r>
        <w:t xml:space="preserve">Failover continuity</w:t>
      </w:r>
    </w:p>
    <w:p>
      <w:pPr>
        <w:pStyle w:val="FirstParagraph"/>
      </w:pPr>
      <w:r>
        <w:t xml:space="preserve">Primary posture is Azure Container Apps + per-tenant Azure SQL catalogs, managed identity, Key Vault, health/outbox probes, and per-catalog backup. Failover is redeploy + SQL continuity controls documented in operations runbooksâ€”not an active-active multi-region product claim unless a pilot SoW states otherwise.</w:t>
      </w:r>
    </w:p>
    <w:p>
      <w:pPr>
        <w:pStyle w:val="CaptionedFigure"/>
      </w:pPr>
      <w:r>
        <w:drawing>
          <wp:inline>
            <wp:extent cx="5334000" cy="557892"/>
            <wp:effectExtent b="0" l="0" r="0" t="0"/>
            <wp:docPr descr="Failover continuity" title="" id="129" name="Picture"/>
            <a:graphic>
              <a:graphicData uri="http://schemas.openxmlformats.org/drawingml/2006/picture">
                <pic:pic>
                  <pic:nvPicPr>
                    <pic:cNvPr descr="../architecture_diagrams/archlucid-failover-continuity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7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Failover continuity</w:t>
      </w:r>
    </w:p>
    <w:bookmarkEnd w:id="131"/>
    <w:bookmarkStart w:id="132" w:name="detail-2"/>
    <w:p>
      <w:pPr>
        <w:pStyle w:val="Heading2"/>
      </w:pPr>
      <w:r>
        <w:t xml:space="preserve">Detail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docs/library/ORCHESTRATOR_RETRIES.md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docs/architecture/adrs/0038-run-durability-multi-store-outbox-production-secrets.md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docs/operations/TENANT_SQL_TOPOLOGY_RUNBOOK.md</w:t>
      </w:r>
    </w:p>
    <w:bookmarkEnd w:id="132"/>
    <w:bookmarkEnd w:id="133"/>
    <w:bookmarkStart w:id="143" w:name="threat-models-ask-rag-and-webhooks"/>
    <w:p>
      <w:pPr>
        <w:pStyle w:val="Heading1"/>
      </w:pPr>
      <w:r>
        <w:t xml:space="preserve">15. Threat models (Ask / RAG and webhooks)</w:t>
      </w:r>
    </w:p>
    <w:p>
      <w:pPr>
        <w:pStyle w:val="FirstParagraph"/>
      </w:pPr>
      <w:r>
        <w:t xml:space="preserve">Focused threat sketches for two high-traffic attack surfaces. Full security model remains chapter 9 and ADR 0037.</w:t>
      </w:r>
    </w:p>
    <w:bookmarkStart w:id="137" w:name="ask-rag"/>
    <w:p>
      <w:pPr>
        <w:pStyle w:val="Heading2"/>
      </w:pPr>
      <w:r>
        <w:t xml:space="preserve">Ask / RAG</w:t>
      </w:r>
    </w:p>
    <w:p>
      <w:pPr>
        <w:pStyle w:val="FirstParagraph"/>
      </w:pPr>
      <w:r>
        <w:t xml:space="preserve">Threats: cross-tenant retrieval probes, prompt injection, unbounded spend. Controls: identity-derived scope, tenant-filtered retrieval corpus, grounded citations, quotas.</w:t>
      </w:r>
    </w:p>
    <w:p>
      <w:pPr>
        <w:pStyle w:val="CaptionedFigure"/>
      </w:pPr>
      <w:r>
        <w:drawing>
          <wp:inline>
            <wp:extent cx="5334000" cy="2122714"/>
            <wp:effectExtent b="0" l="0" r="0" t="0"/>
            <wp:docPr descr="Ask / RAG threat model" title="" id="135" name="Picture"/>
            <a:graphic>
              <a:graphicData uri="http://schemas.openxmlformats.org/drawingml/2006/picture">
                <pic:pic>
                  <pic:nvPicPr>
                    <pic:cNvPr descr="../architecture_diagrams/archlucid-threat-ask-rag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2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Ask / RAG threat model</w:t>
      </w:r>
    </w:p>
    <w:bookmarkEnd w:id="137"/>
    <w:bookmarkStart w:id="141" w:name="inbound-webhooks"/>
    <w:p>
      <w:pPr>
        <w:pStyle w:val="Heading2"/>
      </w:pPr>
      <w:r>
        <w:t xml:space="preserve">Inbound webhooks</w:t>
      </w:r>
    </w:p>
    <w:p>
      <w:pPr>
        <w:pStyle w:val="FirstParagraph"/>
      </w:pPr>
      <w:r>
        <w:t xml:space="preserve">Threats: unsigned, replayed, or oversized posts. Controls follow INV-015 spine: rate â†’ bounded size â†’ verify â†’ parse â†’ fast ack, with fail-closed secrets and tenant correlation into the correct catalog.</w:t>
      </w:r>
    </w:p>
    <w:p>
      <w:pPr>
        <w:pStyle w:val="CaptionedFigure"/>
      </w:pPr>
      <w:r>
        <w:drawing>
          <wp:inline>
            <wp:extent cx="5334000" cy="5544910"/>
            <wp:effectExtent b="0" l="0" r="0" t="0"/>
            <wp:docPr descr="Webhook threat model" title="" id="139" name="Picture"/>
            <a:graphic>
              <a:graphicData uri="http://schemas.openxmlformats.org/drawingml/2006/picture">
                <pic:pic>
                  <pic:nvPicPr>
                    <pic:cNvPr descr="../architecture_diagrams/archlucid-threat-webhooks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44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Webhook threat model</w:t>
      </w:r>
    </w:p>
    <w:bookmarkEnd w:id="141"/>
    <w:bookmarkStart w:id="142" w:name="detail-3"/>
    <w:p>
      <w:pPr>
        <w:pStyle w:val="Heading2"/>
      </w:pPr>
      <w:r>
        <w:t xml:space="preserve">Detail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docs/security/TENANT_ISOLATION_DEFENSE_IN_DEPTH.md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docs/library/INTEGRATION_EVENTS_AND_WEBHOOKS.md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docs/library/ARCHITECTURE_INVARIANTS.md</w:t>
      </w:r>
      <w:r>
        <w:t xml:space="preserve"> </w:t>
      </w:r>
      <w:r>
        <w:t xml:space="preserve">(INV-015)</w:t>
      </w:r>
    </w:p>
    <w:bookmarkEnd w:id="142"/>
    <w:bookmarkEnd w:id="143"/>
    <w:bookmarkStart w:id="147" w:name="data-model-pragmatic-er"/>
    <w:p>
      <w:pPr>
        <w:pStyle w:val="Heading1"/>
      </w:pPr>
      <w:r>
        <w:t xml:space="preserve">16. Data model (pragmatic ER)</w:t>
      </w:r>
    </w:p>
    <w:p>
      <w:pPr>
        <w:pStyle w:val="FirstParagraph"/>
      </w:pPr>
      <w:r>
        <w:t xml:space="preserve">Core authority tables hang off</w:t>
      </w:r>
      <w:r>
        <w:t xml:space="preserve"> </w:t>
      </w:r>
      <w:r>
        <w:rPr>
          <w:rStyle w:val="VerbatimChar"/>
          <w:b/>
          <w:bCs/>
        </w:rPr>
        <w:t xml:space="preserve">dbo.Runs</w:t>
      </w:r>
      <w:r>
        <w:t xml:space="preserve">. Comparison left/right run ids may omit FKs so historical rows stay referenceable. Full narrative:</w:t>
      </w:r>
      <w:r>
        <w:t xml:space="preserve"> </w:t>
      </w:r>
      <w:r>
        <w:rPr>
          <w:rStyle w:val="VerbatimChar"/>
        </w:rPr>
        <w:t xml:space="preserve">docs/library/DATA_MODEL.md</w:t>
      </w:r>
      <w:r>
        <w:t xml:space="preserve">.</w:t>
      </w:r>
    </w:p>
    <w:p>
      <w:pPr>
        <w:pStyle w:val="CaptionedFigure"/>
      </w:pPr>
      <w:r>
        <w:drawing>
          <wp:inline>
            <wp:extent cx="5334000" cy="1061357"/>
            <wp:effectExtent b="0" l="0" r="0" t="0"/>
            <wp:docPr descr="Data model ER" title="" id="145" name="Picture"/>
            <a:graphic>
              <a:graphicData uri="http://schemas.openxmlformats.org/drawingml/2006/picture">
                <pic:pic>
                  <pic:nvPicPr>
                    <pic:cNvPr descr="../architecture_diagrams/archlucid-data-model-er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1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Data model ER</w:t>
      </w:r>
    </w:p>
    <w:p>
      <w:pPr>
        <w:pStyle w:val="BodyText"/>
      </w:pPr>
      <w:r>
        <w:t xml:space="preserve">DDL source of truth:</w:t>
      </w:r>
      <w:r>
        <w:t xml:space="preserve"> </w:t>
      </w:r>
      <w:r>
        <w:rPr>
          <w:rStyle w:val="VerbatimChar"/>
        </w:rPr>
        <w:t xml:space="preserve">ArchLucid.Persistence/Scripts/ArchLucid.sql</w:t>
      </w:r>
      <w:r>
        <w:t xml:space="preserve"> </w:t>
      </w:r>
      <w:r>
        <w:t xml:space="preserve">(one script per database).</w:t>
      </w:r>
    </w:p>
    <w:bookmarkEnd w:id="147"/>
    <w:bookmarkStart w:id="151" w:name="Xd37af0b638e03379331f22a5bcad44b635202f3"/>
    <w:p>
      <w:pPr>
        <w:pStyle w:val="Heading1"/>
      </w:pPr>
      <w:r>
        <w:t xml:space="preserve">17. Configuration precedence and fail-closed rules</w:t>
      </w:r>
    </w:p>
    <w:p>
      <w:pPr>
        <w:pStyle w:val="FirstParagraph"/>
      </w:pPr>
      <w:r>
        <w:t xml:space="preserve">Layered</w:t>
      </w:r>
      <w:r>
        <w:t xml:space="preserve"> </w:t>
      </w:r>
      <w:r>
        <w:rPr>
          <w:rStyle w:val="VerbatimChar"/>
        </w:rPr>
        <w:t xml:space="preserve">IConfiguration</w:t>
      </w:r>
      <w:r>
        <w:t xml:space="preserve">: appsettings â†’ Advanced/SaaS overlays â†’</w:t>
      </w:r>
      <w:r>
        <w:t xml:space="preserve"> </w:t>
      </w:r>
      <w:r>
        <w:rPr>
          <w:b/>
          <w:bCs/>
        </w:rPr>
        <w:t xml:space="preserve">environment wins</w:t>
      </w:r>
      <w:r>
        <w:t xml:space="preserve"> </w:t>
      </w:r>
      <w:r>
        <w:t xml:space="preserve">â†’ in-memory bridges. Only</w:t>
      </w:r>
      <w:r>
        <w:t xml:space="preserve"> </w:t>
      </w:r>
      <w:r>
        <w:rPr>
          <w:rStyle w:val="VerbatimChar"/>
          <w:b/>
          <w:bCs/>
        </w:rPr>
        <w:t xml:space="preserve">ArchLucid*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b/>
          <w:bCs/>
        </w:rPr>
        <w:t xml:space="preserve">ARCHLUCID_*</w:t>
      </w:r>
      <w:r>
        <w:t xml:space="preserve"> </w:t>
      </w:r>
      <w:r>
        <w:t xml:space="preserve">are authoritative; legacy</w:t>
      </w:r>
      <w:r>
        <w:t xml:space="preserve"> </w:t>
      </w:r>
      <w:r>
        <w:rPr>
          <w:rStyle w:val="VerbatimChar"/>
        </w:rPr>
        <w:t xml:space="preserve">ArchiForge*</w:t>
      </w:r>
      <w:r>
        <w:t xml:space="preserve"> </w:t>
      </w:r>
      <w:r>
        <w:t xml:space="preserve">keys warn and are ignored.</w:t>
      </w:r>
    </w:p>
    <w:p>
      <w:pPr>
        <w:pStyle w:val="CaptionedFigure"/>
      </w:pPr>
      <w:r>
        <w:drawing>
          <wp:inline>
            <wp:extent cx="5334000" cy="3605892"/>
            <wp:effectExtent b="0" l="0" r="0" t="0"/>
            <wp:docPr descr="Config precedence" title="" id="149" name="Picture"/>
            <a:graphic>
              <a:graphicData uri="http://schemas.openxmlformats.org/drawingml/2006/picture">
                <pic:pic>
                  <pic:nvPicPr>
                    <pic:cNvPr descr="../architecture_diagrams/archlucid-config-precedence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5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Config precedence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docs/library/CONFIGURATION_REFERENCE.md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CONFIGURATION_ARCHITECTURE_PRECEDENCE_VALIDATION_DRIFT_CLAIM_MAP.md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CONFIG_BRIDGE_SUNSET.md</w:t>
      </w:r>
      <w:r>
        <w:t xml:space="preserve">.</w:t>
      </w:r>
    </w:p>
    <w:bookmarkEnd w:id="151"/>
    <w:bookmarkStart w:id="155" w:name="authentication-by-route-tier"/>
    <w:p>
      <w:pPr>
        <w:pStyle w:val="Heading1"/>
      </w:pPr>
      <w:r>
        <w:t xml:space="preserve">18. Authentication by route tier</w:t>
      </w:r>
    </w:p>
    <w:p>
      <w:pPr>
        <w:pStyle w:val="FirstParagraph"/>
      </w:pPr>
      <w:r>
        <w:t xml:space="preserve">Anonymous health/version, unscoped marketing/webhook routes, and scoped operator</w:t>
      </w:r>
      <w:r>
        <w:t xml:space="preserve"> </w:t>
      </w:r>
      <w:r>
        <w:rPr>
          <w:rStyle w:val="VerbatimChar"/>
        </w:rPr>
        <w:t xml:space="preserve">/v1/*</w:t>
      </w:r>
      <w:r>
        <w:t xml:space="preserve"> </w:t>
      </w:r>
      <w:r>
        <w:t xml:space="preserve">with JWT or API keys. Production-like hosts reject header-only scope and development bypass.</w:t>
      </w:r>
    </w:p>
    <w:p>
      <w:pPr>
        <w:pStyle w:val="CaptionedFigure"/>
      </w:pPr>
      <w:r>
        <w:drawing>
          <wp:inline>
            <wp:extent cx="5334000" cy="4082142"/>
            <wp:effectExtent b="0" l="0" r="0" t="0"/>
            <wp:docPr descr="AuthN route matrix" title="" id="153" name="Picture"/>
            <a:graphic>
              <a:graphicData uri="http://schemas.openxmlformats.org/drawingml/2006/picture">
                <pic:pic>
                  <pic:nvPicPr>
                    <pic:cNvPr descr="../architecture_diagrams/archlucid-authn-route-matrix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82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AuthN route matrix</w:t>
      </w:r>
    </w:p>
    <w:p>
      <w:pPr>
        <w:pStyle w:val="BodyText"/>
      </w:pPr>
      <w:r>
        <w:t xml:space="preserve">See tenant isolation chapter and</w:t>
      </w:r>
      <w:r>
        <w:t xml:space="preserve"> </w:t>
      </w:r>
      <w:r>
        <w:rPr>
          <w:rStyle w:val="VerbatimChar"/>
        </w:rPr>
        <w:t xml:space="preserve">docs/security/TENANT_ISOLATION_DEFENSE_IN_DEPTH.md</w:t>
      </w:r>
      <w:r>
        <w:t xml:space="preserve">.</w:t>
      </w:r>
    </w:p>
    <w:bookmarkEnd w:id="155"/>
    <w:bookmarkStart w:id="159" w:name="pilot-day-0-day-1-wireflow"/>
    <w:p>
      <w:pPr>
        <w:pStyle w:val="Heading1"/>
      </w:pPr>
      <w:r>
        <w:t xml:space="preserve">19. Pilot day-0 / day-1 wireflow</w:t>
      </w:r>
    </w:p>
    <w:p>
      <w:pPr>
        <w:pStyle w:val="FirstParagraph"/>
      </w:pPr>
      <w:r>
        <w:t xml:space="preserve">Operator click-path (not C4): signup â†’ intake â†’ first review â†’ finalize â†’ export â†’ invite reviewer â†’ ongoing compare/Ask.</w:t>
      </w:r>
    </w:p>
    <w:p>
      <w:pPr>
        <w:pStyle w:val="CaptionedFigure"/>
      </w:pPr>
      <w:r>
        <w:drawing>
          <wp:inline>
            <wp:extent cx="5334000" cy="238125"/>
            <wp:effectExtent b="0" l="0" r="0" t="0"/>
            <wp:docPr descr="Pilot day0 day1" title="" id="157" name="Picture"/>
            <a:graphic>
              <a:graphicData uri="http://schemas.openxmlformats.org/drawingml/2006/picture">
                <pic:pic>
                  <pic:nvPicPr>
                    <pic:cNvPr descr="../architecture_diagrams/archlucid-pilot-day0-day1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Pilot day0 day1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docs/CORE_PILOT.md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docs/library/CANONICAL_FIRST_RUN_PATH.md</w:t>
      </w:r>
      <w:r>
        <w:t xml:space="preserve">.</w:t>
      </w:r>
    </w:p>
    <w:bookmarkEnd w:id="159"/>
    <w:bookmarkStart w:id="163" w:name="finops-and-capacity-drivers"/>
    <w:p>
      <w:pPr>
        <w:pStyle w:val="Heading1"/>
      </w:pPr>
      <w:r>
        <w:t xml:space="preserve">20. FinOps and capacity drivers</w:t>
      </w:r>
    </w:p>
    <w:p>
      <w:pPr>
        <w:pStyle w:val="FirstParagraph"/>
      </w:pPr>
      <w:r>
        <w:t xml:space="preserve">Dominant spend: Azure OpenAI (completions + embeddings), Azure SQL (especially per-tenant catalogs), Container Apps replicas. Optional bus/blob/edge add marginal cost.</w:t>
      </w:r>
    </w:p>
    <w:p>
      <w:pPr>
        <w:pStyle w:val="CaptionedFigure"/>
      </w:pPr>
      <w:r>
        <w:drawing>
          <wp:inline>
            <wp:extent cx="5334000" cy="1088571"/>
            <wp:effectExtent b="0" l="0" r="0" t="0"/>
            <wp:docPr descr="FinOps cost" title="" id="161" name="Picture"/>
            <a:graphic>
              <a:graphicData uri="http://schemas.openxmlformats.org/drawingml/2006/picture">
                <pic:pic>
                  <pic:nvPicPr>
                    <pic:cNvPr descr="../architecture_diagrams/archlucid-finops-cost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8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FinOps cost</w:t>
      </w:r>
    </w:p>
    <w:p>
      <w:pPr>
        <w:pStyle w:val="BodyText"/>
      </w:pPr>
      <w:r>
        <w:t xml:space="preserve">Playbook:</w:t>
      </w:r>
      <w:r>
        <w:t xml:space="preserve"> </w:t>
      </w:r>
      <w:r>
        <w:rPr>
          <w:rStyle w:val="VerbatimChar"/>
        </w:rPr>
        <w:t xml:space="preserve">docs/library/CAPACITY_AND_COST_PLAYBOOK.md</w:t>
      </w:r>
      <w:r>
        <w:t xml:space="preserve">.</w:t>
      </w:r>
    </w:p>
    <w:bookmarkEnd w:id="163"/>
    <w:bookmarkStart w:id="167" w:name="observability-map"/>
    <w:p>
      <w:pPr>
        <w:pStyle w:val="Heading1"/>
      </w:pPr>
      <w:r>
        <w:t xml:space="preserve">21. Observability map</w:t>
      </w:r>
    </w:p>
    <w:p>
      <w:pPr>
        <w:pStyle w:val="FirstParagraph"/>
      </w:pPr>
      <w:r>
        <w:t xml:space="preserve">Authority stages emit OpenTelemetry spans (</w:t>
      </w:r>
      <w:r>
        <w:rPr>
          <w:rStyle w:val="VerbatimChar"/>
        </w:rPr>
        <w:t xml:space="preserve">authority.*</w:t>
      </w:r>
      <w:r>
        <w:t xml:space="preserve">, tag</w:t>
      </w:r>
      <w:r>
        <w:t xml:space="preserve"> </w:t>
      </w:r>
      <w:r>
        <w:rPr>
          <w:rStyle w:val="VerbatimChar"/>
        </w:rPr>
        <w:t xml:space="preserve">archlucid.stage.name</w:t>
      </w:r>
      <w:r>
        <w:t xml:space="preserve">). Outbox depth and pipeline timeouts surface as meters; support correlates logs via correlation id +</w:t>
      </w:r>
      <w:r>
        <w:t xml:space="preserve"> </w:t>
      </w:r>
      <w:r>
        <w:rPr>
          <w:rStyle w:val="VerbatimChar"/>
        </w:rPr>
        <w:t xml:space="preserve">runId</w:t>
      </w:r>
      <w:r>
        <w:t xml:space="preserve">.</w:t>
      </w:r>
    </w:p>
    <w:p>
      <w:pPr>
        <w:pStyle w:val="CaptionedFigure"/>
      </w:pPr>
      <w:r>
        <w:drawing>
          <wp:inline>
            <wp:extent cx="5334000" cy="1394732"/>
            <wp:effectExtent b="0" l="0" r="0" t="0"/>
            <wp:docPr descr="Observability map" title="" id="165" name="Picture"/>
            <a:graphic>
              <a:graphicData uri="http://schemas.openxmlformats.org/drawingml/2006/picture">
                <pic:pic>
                  <pic:nvPicPr>
                    <pic:cNvPr descr="../architecture_diagrams/archlucid-observability-map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4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Observability map</w:t>
      </w:r>
    </w:p>
    <w:p>
      <w:pPr>
        <w:pStyle w:val="BodyText"/>
      </w:pPr>
      <w:r>
        <w:t xml:space="preserve">Alerts:</w:t>
      </w:r>
      <w:r>
        <w:t xml:space="preserve"> </w:t>
      </w:r>
      <w:r>
        <w:rPr>
          <w:rStyle w:val="VerbatimChar"/>
        </w:rPr>
        <w:t xml:space="preserve">infra/prometheus/archlucid-alerts.yml</w:t>
      </w:r>
      <w:r>
        <w:t xml:space="preserve">. Background correlation:</w:t>
      </w:r>
      <w:r>
        <w:t xml:space="preserve"> </w:t>
      </w:r>
      <w:r>
        <w:rPr>
          <w:rStyle w:val="VerbatimChar"/>
        </w:rPr>
        <w:t xml:space="preserve">docs/library/BACKGROUND_JOB_CORRELATION.md</w:t>
      </w:r>
      <w:r>
        <w:t xml:space="preserve">.</w:t>
      </w:r>
    </w:p>
    <w:bookmarkEnd w:id="167"/>
    <w:bookmarkStart w:id="171" w:name="dr-failover-drill-storyboard"/>
    <w:p>
      <w:pPr>
        <w:pStyle w:val="Heading1"/>
      </w:pPr>
      <w:r>
        <w:t xml:space="preserve">22. DR / failover drill storyboard</w:t>
      </w:r>
    </w:p>
    <w:p>
      <w:pPr>
        <w:pStyle w:val="FirstParagraph"/>
      </w:pPr>
      <w:r>
        <w:t xml:space="preserve">SQL geo failover group listener is the app connection target. Drill: confirm listener â†’ force failover â†’ Api/Worker follow listener â†’ smoke</w:t>
      </w:r>
      <w:r>
        <w:t xml:space="preserve"> </w:t>
      </w:r>
      <w:r>
        <w:rPr>
          <w:rStyle w:val="VerbatimChar"/>
        </w:rPr>
        <w:t xml:space="preserve">/health/ready</w:t>
      </w:r>
      <w:r>
        <w:t xml:space="preserve"> </w:t>
      </w:r>
      <w:r>
        <w:t xml:space="preserve">+ synthetic review â†’ record actual RTO vs targets.</w:t>
      </w:r>
    </w:p>
    <w:p>
      <w:pPr>
        <w:pStyle w:val="CaptionedFigure"/>
      </w:pPr>
      <w:r>
        <w:drawing>
          <wp:inline>
            <wp:extent cx="5334000" cy="2388053"/>
            <wp:effectExtent b="0" l="0" r="0" t="0"/>
            <wp:docPr descr="DR failover drill" title="" id="169" name="Picture"/>
            <a:graphic>
              <a:graphicData uri="http://schemas.openxmlformats.org/drawingml/2006/picture">
                <pic:pic>
                  <pic:nvPicPr>
                    <pic:cNvPr descr="../architecture_diagrams/archlucid-dr-failover-drill.pn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8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DR failover drill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docs/runbooks/DATABASE_FAILOVER.md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docs/RTO_RPO_TARGETS.md</w:t>
      </w:r>
      <w:r>
        <w:t xml:space="preserve"> </w:t>
      </w:r>
      <w:r>
        <w:t xml:space="preserve">(when present in tree).</w:t>
      </w:r>
    </w:p>
    <w:bookmarkEnd w:id="171"/>
    <w:bookmarkStart w:id="175" w:name="policy-pack-authoring-sdlc"/>
    <w:p>
      <w:pPr>
        <w:pStyle w:val="Heading1"/>
      </w:pPr>
      <w:r>
        <w:t xml:space="preserve">23. Policy-pack authoring SDLC</w:t>
      </w:r>
    </w:p>
    <w:p>
      <w:pPr>
        <w:pStyle w:val="FirstParagraph"/>
      </w:pPr>
      <w:r>
        <w:t xml:space="preserve">Content velocity: LLM draft â†’ critic â†’ SME â†’ publish â†’ scope assign â†’ hierarchical effective merge â†’ advisory hits on reviews.</w:t>
      </w:r>
    </w:p>
    <w:p>
      <w:pPr>
        <w:pStyle w:val="CaptionedFigure"/>
      </w:pPr>
      <w:r>
        <w:drawing>
          <wp:inline>
            <wp:extent cx="5334000" cy="224517"/>
            <wp:effectExtent b="0" l="0" r="0" t="0"/>
            <wp:docPr descr="Policy pack SDLC" title="" id="173" name="Picture"/>
            <a:graphic>
              <a:graphicData uri="http://schemas.openxmlformats.org/drawingml/2006/picture">
                <pic:pic>
                  <pic:nvPicPr>
                    <pic:cNvPr descr="../architecture_diagrams/archlucid-policy-pack-sdlc.pn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Policy pack SDLC</w:t>
      </w:r>
    </w:p>
    <w:p>
      <w:pPr>
        <w:pStyle w:val="BodyText"/>
      </w:pPr>
      <w:r>
        <w:t xml:space="preserve">Samples under</w:t>
      </w:r>
      <w:r>
        <w:t xml:space="preserve"> </w:t>
      </w:r>
      <w:r>
        <w:rPr>
          <w:rStyle w:val="VerbatimChar"/>
        </w:rPr>
        <w:t xml:space="preserve">docs/samples/policy-packs/</w:t>
      </w:r>
      <w:r>
        <w:t xml:space="preserve">. Backlog:</w:t>
      </w:r>
      <w:r>
        <w:t xml:space="preserve"> </w:t>
      </w:r>
      <w:r>
        <w:rPr>
          <w:rStyle w:val="VerbatimChar"/>
        </w:rPr>
        <w:t xml:space="preserve">docs/library/POLICY_PACK_CONTENT_BACKLOG.md</w:t>
      </w:r>
      <w:r>
        <w:t xml:space="preserve">.</w:t>
      </w:r>
    </w:p>
    <w:bookmarkEnd w:id="175"/>
    <w:bookmarkStart w:id="179" w:name="api-surface-heat-map"/>
    <w:p>
      <w:pPr>
        <w:pStyle w:val="Heading1"/>
      </w:pPr>
      <w:r>
        <w:t xml:space="preserve">24. API surface heat map</w:t>
      </w:r>
    </w:p>
    <w:p>
      <w:pPr>
        <w:pStyle w:val="FirstParagraph"/>
      </w:pPr>
      <w:r>
        <w:t xml:space="preserve">Public/demo routes stay lightly authenticated; operator architecture APIs use fixed/expensive rate limits; comparisons, Ask, and reports are heavier; governance/admin are authority-gated.</w:t>
      </w:r>
    </w:p>
    <w:p>
      <w:pPr>
        <w:pStyle w:val="CaptionedFigure"/>
      </w:pPr>
      <w:r>
        <w:drawing>
          <wp:inline>
            <wp:extent cx="5334000" cy="9051636"/>
            <wp:effectExtent b="0" l="0" r="0" t="0"/>
            <wp:docPr descr="API surface heatmap" title="" id="177" name="Picture"/>
            <a:graphic>
              <a:graphicData uri="http://schemas.openxmlformats.org/drawingml/2006/picture">
                <pic:pic>
                  <pic:nvPicPr>
                    <pic:cNvPr descr="../architecture_diagrams/archlucid-api-surface-heatmap.png" id="178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051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API surface heatmap</w:t>
      </w:r>
    </w:p>
    <w:p>
      <w:pPr>
        <w:pStyle w:val="BodyText"/>
      </w:pPr>
      <w:r>
        <w:t xml:space="preserve">Contracts:</w:t>
      </w:r>
      <w:r>
        <w:t xml:space="preserve"> </w:t>
      </w:r>
      <w:r>
        <w:rPr>
          <w:rStyle w:val="VerbatimChar"/>
        </w:rPr>
        <w:t xml:space="preserve">docs/library/API_CONTRACTS.md</w:t>
      </w:r>
      <w:r>
        <w:t xml:space="preserve">. Atlas:</w:t>
      </w:r>
      <w:r>
        <w:t xml:space="preserve"> </w:t>
      </w:r>
      <w:r>
        <w:rPr>
          <w:rStyle w:val="VerbatimChar"/>
        </w:rPr>
        <w:t xml:space="preserve">docs/library/OPERATOR_ATLAS.md</w:t>
      </w:r>
      <w:r>
        <w:t xml:space="preserve">.</w:t>
      </w:r>
    </w:p>
    <w:bookmarkEnd w:id="179"/>
    <w:bookmarkStart w:id="180" w:name="changelog-handbook"/>
    <w:p>
      <w:pPr>
        <w:pStyle w:val="Heading1"/>
      </w:pPr>
      <w:r>
        <w:t xml:space="preserve">Changelog (handbook)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21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2026.08.06c</w:t>
            </w:r>
          </w:p>
        </w:tc>
        <w:tc>
          <w:tcPr/>
          <w:p>
            <w:pPr>
              <w:pStyle w:val="Compact"/>
            </w:pPr>
            <w:r>
              <w:t xml:space="preserve">2026-08-06</w:t>
            </w:r>
          </w:p>
        </w:tc>
        <w:tc>
          <w:tcPr/>
          <w:p>
            <w:pPr>
              <w:pStyle w:val="Compact"/>
            </w:pPr>
            <w:r>
              <w:t xml:space="preserve">Expansion set 2: data-model ER, config precedence, authN matrix, pilot day0/1, FinOps, observability, DR drill, policy-pack SDLC, API heatmap; handbook release script + workflow.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2026.08.06b</w:t>
            </w:r>
          </w:p>
        </w:tc>
        <w:tc>
          <w:tcPr/>
          <w:p>
            <w:pPr>
              <w:pStyle w:val="Compact"/>
            </w:pPr>
            <w:r>
              <w:t xml:space="preserve">2026-08-06</w:t>
            </w:r>
          </w:p>
        </w:tc>
        <w:tc>
          <w:tcPr/>
          <w:p>
            <w:pPr>
              <w:pStyle w:val="Compact"/>
            </w:pPr>
            <w:r>
              <w:t xml:space="preserve">Restored diagrams + handbook spine; stage zoom-ins, failure/failover, threats, buyer pack, drift CI, ADR overlay / C4 sync.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living</w:t>
            </w:r>
          </w:p>
        </w:tc>
        <w:tc>
          <w:tcPr/>
          <w:p>
            <w:pPr>
              <w:pStyle w:val="Compact"/>
            </w:pPr>
            <w:r>
              <w:t xml:space="preserve">prior</w:t>
            </w:r>
          </w:p>
        </w:tc>
        <w:tc>
          <w:tcPr/>
          <w:p>
            <w:pPr>
              <w:pStyle w:val="Compact"/>
            </w:pPr>
            <w:r>
              <w:t xml:space="preserve">Original living-draft chapters 00â€“12 + 99.</w:t>
            </w:r>
          </w:p>
        </w:tc>
      </w:tr>
    </w:tbl>
    <w:bookmarkEnd w:id="180"/>
    <w:bookmarkStart w:id="181" w:name="references"/>
    <w:p>
      <w:pPr>
        <w:pStyle w:val="Heading1"/>
      </w:pPr>
      <w:r>
        <w:t xml:space="preserve">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Need</w:t>
            </w:r>
          </w:p>
        </w:tc>
        <w:tc>
          <w:tcPr/>
          <w:p>
            <w:pPr>
              <w:pStyle w:val="Compact"/>
            </w:pPr>
            <w:r>
              <w:t xml:space="preserve">Doc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One-page poster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docs/ARCHITECTURE_ON_ONE_PAGE.md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 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docs/architecture/README.md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Diagrams (Mermaid + SVG)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docs/architecture/architecture_diagrams/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docs/library/ARCHITECTURE_FLOWS.md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docs/library/ARCHITECTURE_CONTAINERS.md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docs/library/ARCHITECTURE_COMPONENTS.md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docs/architecture/adrs/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 scope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docs/library/V1_SCOPE.md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contracts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docs/library/API_CONTRACTS.md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 isolation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docs/security/TENANT_ISOLATION_DEFENSE_IN_DEPTH.md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 atlas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docs/library/OPERATOR_ATLAS.md</w:t>
            </w:r>
          </w:p>
        </w:tc>
      </w:tr>
    </w:tbl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6" Target="media/rId176.png" /><Relationship Type="http://schemas.openxmlformats.org/officeDocument/2006/relationships/image" Id="rId85" Target="media/rId85.png" /><Relationship Type="http://schemas.openxmlformats.org/officeDocument/2006/relationships/image" Id="rId41" Target="media/rId41.png" /><Relationship Type="http://schemas.openxmlformats.org/officeDocument/2006/relationships/image" Id="rId152" Target="media/rId152.png" /><Relationship Type="http://schemas.openxmlformats.org/officeDocument/2006/relationships/image" Id="rId28" Target="media/rId28.png" /><Relationship Type="http://schemas.openxmlformats.org/officeDocument/2006/relationships/image" Id="rId35" Target="media/rId35.png" /><Relationship Type="http://schemas.openxmlformats.org/officeDocument/2006/relationships/image" Id="rId57" Target="media/rId57.png" /><Relationship Type="http://schemas.openxmlformats.org/officeDocument/2006/relationships/image" Id="rId81" Target="media/rId81.png" /><Relationship Type="http://schemas.openxmlformats.org/officeDocument/2006/relationships/image" Id="rId148" Target="media/rId148.png" /><Relationship Type="http://schemas.openxmlformats.org/officeDocument/2006/relationships/image" Id="rId144" Target="media/rId144.png" /><Relationship Type="http://schemas.openxmlformats.org/officeDocument/2006/relationships/image" Id="rId67" Target="media/rId67.png" /><Relationship Type="http://schemas.openxmlformats.org/officeDocument/2006/relationships/image" Id="rId168" Target="media/rId168.png" /><Relationship Type="http://schemas.openxmlformats.org/officeDocument/2006/relationships/image" Id="rId77" Target="media/rId77.png" /><Relationship Type="http://schemas.openxmlformats.org/officeDocument/2006/relationships/image" Id="rId128" Target="media/rId128.png" /><Relationship Type="http://schemas.openxmlformats.org/officeDocument/2006/relationships/image" Id="rId124" Target="media/rId124.png" /><Relationship Type="http://schemas.openxmlformats.org/officeDocument/2006/relationships/image" Id="rId160" Target="media/rId160.png" /><Relationship Type="http://schemas.openxmlformats.org/officeDocument/2006/relationships/image" Id="rId97" Target="media/rId97.png" /><Relationship Type="http://schemas.openxmlformats.org/officeDocument/2006/relationships/image" Id="rId47" Target="media/rId47.png" /><Relationship Type="http://schemas.openxmlformats.org/officeDocument/2006/relationships/image" Id="rId93" Target="media/rId93.png" /><Relationship Type="http://schemas.openxmlformats.org/officeDocument/2006/relationships/image" Id="rId164" Target="media/rId164.png" /><Relationship Type="http://schemas.openxmlformats.org/officeDocument/2006/relationships/image" Id="rId72" Target="media/rId72.png" /><Relationship Type="http://schemas.openxmlformats.org/officeDocument/2006/relationships/image" Id="rId156" Target="media/rId156.png" /><Relationship Type="http://schemas.openxmlformats.org/officeDocument/2006/relationships/image" Id="rId172" Target="media/rId172.png" /><Relationship Type="http://schemas.openxmlformats.org/officeDocument/2006/relationships/image" Id="rId89" Target="media/rId89.png" /><Relationship Type="http://schemas.openxmlformats.org/officeDocument/2006/relationships/image" Id="rId19" Target="media/rId19.png" /><Relationship Type="http://schemas.openxmlformats.org/officeDocument/2006/relationships/image" Id="rId62" Target="media/rId62.png" /><Relationship Type="http://schemas.openxmlformats.org/officeDocument/2006/relationships/image" Id="rId118" Target="media/rId118.png" /><Relationship Type="http://schemas.openxmlformats.org/officeDocument/2006/relationships/image" Id="rId102" Target="media/rId102.png" /><Relationship Type="http://schemas.openxmlformats.org/officeDocument/2006/relationships/image" Id="rId114" Target="media/rId114.png" /><Relationship Type="http://schemas.openxmlformats.org/officeDocument/2006/relationships/image" Id="rId110" Target="media/rId110.png" /><Relationship Type="http://schemas.openxmlformats.org/officeDocument/2006/relationships/image" Id="rId106" Target="media/rId106.png" /><Relationship Type="http://schemas.openxmlformats.org/officeDocument/2006/relationships/image" Id="rId15" Target="media/rId15.png" /><Relationship Type="http://schemas.openxmlformats.org/officeDocument/2006/relationships/image" Id="rId52" Target="media/rId52.png" /><Relationship Type="http://schemas.openxmlformats.org/officeDocument/2006/relationships/image" Id="rId134" Target="media/rId134.png" /><Relationship Type="http://schemas.openxmlformats.org/officeDocument/2006/relationships/image" Id="rId138" Target="media/rId1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2026-08-06T17:34:35Z</dcterms:created>
  <dcterms:modified xsi:type="dcterms:W3CDTF">2026-08-06T17:34:35Z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