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232e1a5c0d4f62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2200000" cy="700000"/>
            <wp:effectExtent l="0" t="0" r="0" b="0"/>
            <wp:docPr id="1" name="Consultan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nt logo"/>
                    <pic:cNvPicPr/>
                  </pic:nvPicPr>
                  <pic:blipFill>
                    <a:blip xmlns:r="http://schemas.openxmlformats.org/officeDocument/2006/relationships" r:embed="R3000ae9298ac471e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/>
      </w:r>
    </w:p>
    <w:p>
      <w:r>
        <w:t/>
      </w:r>
    </w:p>
    <w:p>
      <w:pPr>
        <w:pStyle w:val="DocTitle"/>
      </w:pPr>
      <w:r>
        <w:t xml:space="preserve">Contoso Architecture Partners</w:t>
      </w:r>
    </w:p>
    <w:p>
      <w:r>
        <w:t/>
      </w:r>
    </w:p>
    <w:p>
      <w:pPr>
        <w:pStyle w:val="DocSubtitle"/>
      </w:pPr>
      <w:r>
        <w:t xml:space="preserve">Northwind Corp — architecture review board packet (sample)</w:t>
      </w:r>
    </w:p>
    <w:p>
      <w:r>
        <w:t/>
      </w:r>
    </w:p>
    <w:p>
      <w:r>
        <w:t/>
      </w:r>
    </w:p>
    <w:p>
      <w:pPr>
        <w:pStyle w:val="BodyText"/>
      </w:pPr>
      <w:r>
        <w:t xml:space="preserve">Review ID: a1111111-1111-1111-1111-111111111111</w:t>
      </w:r>
    </w:p>
    <w:p>
      <w:pPr>
        <w:pStyle w:val="BodyText"/>
      </w:pPr>
      <w:r>
        <w:t xml:space="preserve">Review (run) ID: northwind-demo-review-run-001</w:t>
      </w:r>
    </w:p>
    <w:p>
      <w:pPr>
        <w:pStyle w:val="BodyText"/>
      </w:pPr>
      <w:r>
        <w:t xml:space="preserve">Request ID: req-contoso-northwind-8842</w:t>
      </w:r>
    </w:p>
    <w:p>
      <w:pPr>
        <w:pStyle w:val="BodyText"/>
      </w:pPr>
      <w:r>
        <w:t xml:space="preserve">Architecture snapshot version: mv-sample-2026-05</w:t>
      </w:r>
    </w:p>
    <w:p>
      <w:pPr>
        <w:pStyle w:val="BodyText"/>
      </w:pPr>
      <w:r>
        <w:t xml:space="preserve">Generated UTC: 2026-05-16T06:45:29.1681059+00:00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Subtle"/>
      </w:pPr>
      <w:r>
        <w:t xml:space="preserve">Terminology follows buyer-facing glossary: Review ↔ committed run; Architecture snapshot ↔ golden manifest.</w:t>
      </w:r>
    </w:p>
    <w:p>
      <w:r>
        <w:br w:type="page"/>
      </w:r>
    </w:p>
    <w:p>
      <w:pPr>
        <w:pStyle w:val="SectionHeading"/>
      </w:pPr>
      <w:r>
        <w:t xml:space="preserve">Executive summary</w:t>
      </w:r>
    </w:p>
    <w:p>
      <w:r>
        <w:t/>
      </w:r>
    </w:p>
    <w:p>
      <w:pPr>
        <w:pStyle w:val="BodyText"/>
      </w:pPr>
      <w:r>
        <w:t xml:space="preserve">Contoso Architecture Partners assessed Northwind Corp's regulated commerce architecture after finalize review of the committed architecture snapshot. The engagement confirms traceable evidence, recorded architecture decisions, and actionable follow-ups suitable for board readout.</w:t>
      </w:r>
    </w:p>
    <w:p>
      <w:r>
        <w:t/>
      </w:r>
    </w:p>
    <w:p>
      <w:pPr>
        <w:pStyle w:val="SectionHeading"/>
      </w:pPr>
      <w:r>
        <w:t xml:space="preserve">System overview (architecture snapshot)</w:t>
      </w:r>
    </w:p>
    <w:p>
      <w:r>
        <w:t/>
      </w:r>
    </w:p>
    <w:p>
      <w:pPr>
        <w:spacing w:after="40"/>
      </w:pPr>
      <w:r>
        <w:t xml:space="preserve">• Architecture snapshot covers «Northwind Corp — regulated commerce platform» with representative services and datastores for the pilot boundary.</w:t>
      </w:r>
    </w:p>
    <w:p>
      <w:pPr>
        <w:spacing w:after="40"/>
      </w:pPr>
      <w:r>
        <w:t xml:space="preserve">• Governance metadata reflects sample risk and compliance posture used only for demonstration.</w:t>
      </w:r>
    </w:p>
    <w:p>
      <w:pPr>
        <w:spacing w:after="40"/>
      </w:pPr>
      <w:r>
        <w:t xml:space="preserve">• Compliance tags and constraints are illustrative — replace with tenant-backed policy packs in production reviews.</w:t>
      </w:r>
    </w:p>
    <w:p>
      <w:r>
        <w:t/>
      </w:r>
    </w:p>
    <w:p>
      <w:pPr>
        <w:pStyle w:val="SectionHeading"/>
      </w:pPr>
      <w:r>
        <w:t xml:space="preserve">Evidence reviewed</w:t>
      </w:r>
    </w:p>
    <w:p>
      <w:r>
        <w:t/>
      </w:r>
    </w:p>
    <w:p>
      <w:pPr>
        <w:pStyle w:val="BodyText"/>
      </w:pPr>
      <w:r>
        <w:t xml:space="preserve">Request narrative</w:t>
      </w:r>
    </w:p>
    <w:p>
      <w:pPr>
        <w:pStyle w:val="Subtle"/>
      </w:pPr>
      <w:r>
        <w:t xml:space="preserve">Northwind seeks to modernize checkout while preserving PCI isolation boundaries and regional residency commitments.</w:t>
      </w:r>
    </w:p>
    <w:p>
      <w:pPr>
        <w:pStyle w:val="Subtle"/>
      </w:pPr>
      <w:r>
        <w:t xml:space="preserve">Reference: SAMPLE-RQ-01</w:t>
      </w:r>
    </w:p>
    <w:p>
      <w:r>
        <w:t/>
      </w:r>
    </w:p>
    <w:p>
      <w:pPr>
        <w:pStyle w:val="BodyText"/>
      </w:pPr>
      <w:r>
        <w:t xml:space="preserve">Constraint</w:t>
      </w:r>
    </w:p>
    <w:p>
      <w:pPr>
        <w:pStyle w:val="Subtle"/>
      </w:pPr>
      <w:r>
        <w:t xml:space="preserve">EU-West processing for personally identifiable checkout telemetry.</w:t>
      </w:r>
    </w:p>
    <w:p>
      <w:r>
        <w:t/>
      </w:r>
    </w:p>
    <w:p>
      <w:pPr>
        <w:pStyle w:val="BodyText"/>
      </w:pPr>
      <w:r>
        <w:t xml:space="preserve">Required capability</w:t>
      </w:r>
    </w:p>
    <w:p>
      <w:pPr>
        <w:pStyle w:val="Subtle"/>
      </w:pPr>
      <w:r>
        <w:t xml:space="preserve">Idempotent order intake under partial network partitions.</w:t>
      </w:r>
    </w:p>
    <w:p>
      <w:r>
        <w:t/>
      </w:r>
    </w:p>
    <w:p>
      <w:pPr>
        <w:pStyle w:val="SectionHeading"/>
      </w:pPr>
      <w:r>
        <w:t xml:space="preserve">Architecture decisions</w:t>
      </w:r>
    </w:p>
    <w:p>
      <w:r>
        <w:t/>
      </w:r>
    </w:p>
    <w:p>
      <w:pPr>
        <w:pStyle w:val="BodyText"/>
      </w:pPr>
      <w:r>
        <w:t xml:space="preserve">RunEvent</w:t>
      </w:r>
    </w:p>
    <w:p>
      <w:pPr>
        <w:pStyle w:val="BodyText"/>
      </w:pPr>
      <w:r>
        <w:t xml:space="preserve">FinalizeReviewGate: Golden manifest validated prior to board packet export (synthetic event).</w:t>
      </w:r>
    </w:p>
    <w:p>
      <w:r>
        <w:t/>
      </w:r>
    </w:p>
    <w:p>
      <w:pPr>
        <w:pStyle w:val="Subtle"/>
      </w:pPr>
      <w:r>
        <w:t xml:space="preserve">Recorded: 2026-05-16T14:00:00Z</w:t>
      </w:r>
    </w:p>
    <w:p>
      <w:r>
        <w:t/>
      </w:r>
    </w:p>
    <w:p>
      <w:pPr>
        <w:pStyle w:val="SectionHeading"/>
      </w:pPr>
      <w:r>
        <w:t xml:space="preserve">Key risks</w:t>
      </w:r>
    </w:p>
    <w:p>
      <w:r>
        <w:t/>
      </w:r>
    </w:p>
    <w:p>
      <w:pPr>
        <w:pStyle w:val="BodyText"/>
      </w:pPr>
      <w:r>
        <w:t xml:space="preserve">Governance: Architecture snapshot risk classification is High (demo seed).</w:t>
      </w:r>
    </w:p>
    <w:p>
      <w:pPr>
        <w:pStyle w:val="Subtle"/>
      </w:pPr>
      <w:r>
        <w:t xml:space="preserve">Illustrative only — customer manifests carry tenant-specific governance.</w:t>
      </w:r>
    </w:p>
    <w:p>
      <w:r>
        <w:t/>
      </w:r>
    </w:p>
    <w:p>
      <w:pPr>
        <w:pStyle w:val="BodyText"/>
      </w:pPr>
      <w:r>
        <w:t xml:space="preserve">Analysis warning: Model-assisted finding pending human disposition before sponsor sign-off.</w:t>
      </w:r>
    </w:p>
    <w:p>
      <w:pPr>
        <w:pStyle w:val="Subtle"/>
      </w:pPr>
      <w:r>
        <w:t xml:space="preserve">Synthetic warning row for sample layout.</w:t>
      </w:r>
    </w:p>
    <w:p>
      <w:r>
        <w:t/>
      </w:r>
    </w:p>
    <w:p>
      <w:pPr>
        <w:pStyle w:val="SectionHeading"/>
      </w:pPr>
      <w:r>
        <w:t xml:space="preserve">Policy findings</w:t>
      </w:r>
    </w:p>
    <w:p>
      <w:r>
        <w:t/>
      </w:r>
    </w:p>
    <w:p>
      <w:pPr>
        <w:pStyle w:val="BodyText"/>
      </w:pPr>
      <w:r>
        <w:t xml:space="preserve">Sample policy constraint #1 — Recorded on architecture snapshot</w:t>
      </w:r>
    </w:p>
    <w:p>
      <w:pPr>
        <w:pStyle w:val="Subtle"/>
      </w:pPr>
      <w:r>
        <w:t xml:space="preserve">Encrypt regulated checkout payloads at rest and in transit.</w:t>
      </w:r>
    </w:p>
    <w:p>
      <w:r>
        <w:t/>
      </w:r>
    </w:p>
    <w:p>
      <w:pPr>
        <w:pStyle w:val="BodyText"/>
      </w:pPr>
      <w:r>
        <w:t xml:space="preserve">Required control — Required</w:t>
      </w:r>
    </w:p>
    <w:p>
      <w:pPr>
        <w:pStyle w:val="Subtle"/>
      </w:pPr>
      <w:r>
        <w:t xml:space="preserve">Break-glass access to production paths requires dual approval.</w:t>
      </w:r>
    </w:p>
    <w:p>
      <w:r>
        <w:t/>
      </w:r>
    </w:p>
    <w:p>
      <w:pPr>
        <w:pStyle w:val="SectionHeading"/>
      </w:pPr>
      <w:r>
        <w:t xml:space="preserve">AI-assisted analysis</w:t>
      </w:r>
    </w:p>
    <w:p>
      <w:r>
        <w:t/>
      </w:r>
    </w:p>
    <w:p>
      <w:pPr>
        <w:shd w:val="clear" w:fill="EDF2F7"/>
        <w:spacing w:before="120" w:after="120" w:line="280" w:lineRule="auto"/>
      </w:pPr>
      <w:r>
        <w:rPr>
          <w:b/>
          <w:color w:val="4F6480"/>
        </w:rPr>
        <w:t xml:space="preserve">Findings requiring human disposition — model-assisted observations are advisory only. ArchLucid does not exercise autonomous authority over production posture.</w:t>
      </w:r>
    </w:p>
    <w:p>
      <w:r>
        <w:t/>
      </w:r>
    </w:p>
    <w:p>
      <w:pPr>
        <w:pStyle w:val="BodyText"/>
      </w:pPr>
      <w:r>
        <w:t xml:space="preserve">Model-assisted finding pending human disposition before sponsor sign-off.</w:t>
      </w:r>
    </w:p>
    <w:p>
      <w:pPr>
        <w:pStyle w:val="Subtle"/>
      </w:pPr>
      <w:r>
        <w:t xml:space="preserve">Operators should reconcile against evidence graph links before treating as authoritative.</w:t>
      </w:r>
    </w:p>
    <w:p>
      <w:r>
        <w:t/>
      </w:r>
    </w:p>
    <w:p>
      <w:pPr>
        <w:pStyle w:val="SectionHeading"/>
      </w:pPr>
      <w:r>
        <w:t xml:space="preserve">Traceability appendix</w:t>
      </w:r>
    </w:p>
    <w:p>
      <w:r>
        <w:t/>
      </w:r>
    </w:p>
    <w:tbl>
      <w:tblPr>
        <w:tblBorders>
          <w:top w:val="single" w:sz="8"/>
          <w:bottom w:val="single" w:sz="8"/>
          <w:left w:val="single" w:sz="8"/>
          <w:right w:val="single" w:sz="8"/>
          <w:insideH w:val="single" w:sz="6"/>
          <w:insideV w:val="single" w:sz="6"/>
        </w:tblBorders>
        <w:tblW w:w="9000" w:type="dxa"/>
      </w:tblPr>
      <w:tr>
        <w:tc>
          <w:tcPr>
            <w:tcW w:w="2800" w:type="dxa"/>
          </w:tcPr>
          <w:p>
            <w:pPr>
              <w:spacing w:before="80" w:after="80"/>
            </w:pPr>
            <w:r>
              <w:rPr>
                <w:b/>
              </w:rPr>
              <w:t xml:space="preserve">HTTP correlation ID</w:t>
            </w:r>
          </w:p>
        </w:tc>
        <w:tc>
          <w:tcPr>
            <w:tcW w:w="6200" w:type="dxa"/>
          </w:tcPr>
          <w:p>
            <w:pPr>
              <w:spacing w:before="80" w:after="80"/>
            </w:pPr>
            <w:r>
              <w:t xml:space="preserve">sample-corr-architecture-review-board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>
                <w:b/>
              </w:rPr>
              <w:t xml:space="preserve">Architecture snapshot version</w:t>
            </w:r>
          </w:p>
        </w:tc>
        <w:tc>
          <w:tcPr>
            <w:tcW w:w="6200" w:type="dxa"/>
          </w:tcPr>
          <w:p>
            <w:pPr>
              <w:spacing w:before="80" w:after="80"/>
            </w:pPr>
            <w:r>
              <w:t xml:space="preserve">mv-sample-2026-05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>
                <w:b/>
              </w:rPr>
              <w:t xml:space="preserve">Extractor timestamp (UTC)</w:t>
            </w:r>
          </w:p>
        </w:tc>
        <w:tc>
          <w:tcPr>
            <w:tcW w:w="6200" w:type="dxa"/>
          </w:tcPr>
          <w:p>
            <w:pPr>
              <w:spacing w:before="80" w:after="80"/>
            </w:pPr>
            <w:r>
              <w:t xml:space="preserve">2026-05-16T16:00:00Z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>
                <w:b/>
              </w:rPr>
              <w:t xml:space="preserve">Architecture snapshot created (UTC)</w:t>
            </w:r>
          </w:p>
        </w:tc>
        <w:tc>
          <w:tcPr>
            <w:tcW w:w="6200" w:type="dxa"/>
          </w:tcPr>
          <w:p>
            <w:pPr>
              <w:spacing w:before="80" w:after="80"/>
            </w:pPr>
            <w:r>
              <w:t xml:space="preserve">2026-05-15T09:00:00.0000000Z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>
                <w:b/>
              </w:rPr>
              <w:t xml:space="preserve">Build identifier (sample)</w:t>
            </w:r>
          </w:p>
        </w:tc>
        <w:tc>
          <w:tcPr>
            <w:tcW w:w="6200" w:type="dxa"/>
          </w:tcPr>
          <w:p>
            <w:pPr>
              <w:spacing w:before="80" w:after="80"/>
            </w:pPr>
            <w:r>
              <w:t xml:space="preserve">contoso-northwind-demo-7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>
                <w:b/>
              </w:rPr>
              <w:t xml:space="preserve">Reviewed manifest identifier</w:t>
            </w:r>
          </w:p>
        </w:tc>
        <w:tc>
          <w:tcPr>
            <w:tcW w:w="6200" w:type="dxa"/>
          </w:tcPr>
          <w:p>
            <w:pPr>
              <w:spacing w:before="80" w:after="80"/>
            </w:pPr>
            <w:r>
              <w:t xml:space="preserve">b2222222-2222-2222-2222-222222222222</w:t>
            </w:r>
          </w:p>
        </w:tc>
      </w:tr>
    </w:tbl>
    <w:p>
      <w:r>
        <w:t/>
      </w:r>
    </w:p>
    <w:p>
      <w:pPr>
        <w:pStyle w:val="SectionHeading"/>
      </w:pPr>
      <w:r>
        <w:t xml:space="preserve">Recommended next actions</w:t>
      </w:r>
    </w:p>
    <w:p>
      <w:r>
        <w:t/>
      </w:r>
    </w:p>
    <w:p>
      <w:pPr>
        <w:pStyle w:val="BodyText"/>
      </w:pPr>
      <w:r>
        <w:t xml:space="preserve">1. Validate remediation plans against constraint: Encrypt regulated checkout payloads at rest and in transit.</w:t>
      </w:r>
    </w:p>
    <w:p>
      <w:pPr>
        <w:pStyle w:val="BodyText"/>
      </w:pPr>
      <w:r>
        <w:t xml:space="preserve">2. Triage analysis warning: Model-assisted finding pending human disposition before sponsor sign-off.</w:t>
      </w:r>
    </w:p>
    <w:p>
      <w:r>
        <w:t/>
      </w:r>
    </w:p>
    <w:sectPr>
      <w:footerReference xmlns:r="http://schemas.openxmlformats.org/officeDocument/2006/relationships" w:type="default" r:id="R47fea37d05c64049"/>
      <w:pgSz w:w="12240" w:h="15840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18096"/>
      </w:rPr>
      <w:t xml:space="preserve">Prepared by Contoso Architecture Partners using ArchLucid</w:t>
    </w:r>
  </w:p>
</w:ftr>
</file>

<file path=word/styles.xml><?xml version="1.0" encoding="utf-8"?>
<w:styles xmlns:w="http://schemas.openxmlformats.org/wordprocessingml/2006/main">
  <w:style w:type="paragraph" w:styleId="DocTitle" w:customStyle="true">
    <w:name w:val="Title"/>
    <w:basedOn w:val="Normal"/>
    <w:uiPriority w:val="1"/>
    <w:qFormat/>
    <w:pPr>
      <w:spacing w:before="120" w:after="120" w:line="300" w:lineRule="auto"/>
    </w:pPr>
    <w:rPr>
      <w:color w:val="1F497D"/>
      <w:sz w:val="72"/>
      <w:b/>
    </w:rPr>
  </w:style>
  <w:style w:type="paragraph" w:styleId="DocSubtitle" w:customStyle="true">
    <w:name w:val="Subtitle"/>
    <w:basedOn w:val="Normal"/>
    <w:uiPriority w:val="1"/>
    <w:qFormat/>
    <w:pPr>
      <w:spacing w:before="120" w:after="120" w:line="300" w:lineRule="auto"/>
    </w:pPr>
    <w:rPr>
      <w:color w:val="4F6480"/>
      <w:sz w:val="48"/>
    </w:rPr>
  </w:style>
  <w:style w:type="paragraph" w:styleId="SectionHeading" w:customStyle="true">
    <w:name w:val="Section Heading"/>
    <w:basedOn w:val="Normal"/>
    <w:uiPriority w:val="1"/>
    <w:qFormat/>
    <w:pPr>
      <w:spacing w:before="120" w:after="120" w:line="300" w:lineRule="auto"/>
    </w:pPr>
    <w:rPr>
      <w:color w:val="1F497D"/>
      <w:sz w:val="36"/>
      <w:b/>
    </w:rPr>
  </w:style>
  <w:style w:type="paragraph" w:styleId="BodyText" w:customStyle="true">
    <w:name w:val="Body Text"/>
    <w:basedOn w:val="Normal"/>
    <w:uiPriority w:val="1"/>
    <w:qFormat/>
    <w:pPr>
      <w:spacing w:before="120" w:after="120" w:line="300" w:lineRule="auto"/>
    </w:pPr>
    <w:rPr>
      <w:color w:val="2D3748"/>
      <w:sz w:val="24"/>
    </w:rPr>
  </w:style>
  <w:style w:type="paragraph" w:styleId="Subtle" w:customStyle="true">
    <w:name w:val="Subtle"/>
    <w:basedOn w:val="Normal"/>
    <w:uiPriority w:val="1"/>
    <w:qFormat/>
    <w:pPr>
      <w:spacing w:before="120" w:after="120" w:line="300" w:lineRule="auto"/>
    </w:pPr>
    <w:rPr>
      <w:color w:val="718096"/>
      <w:sz w:val="22"/>
    </w:rPr>
  </w:style>
  <w:style w:type="paragraph" w:styleId="Callout" w:customStyle="true">
    <w:name w:val="Callout"/>
    <w:basedOn w:val="Normal"/>
    <w:uiPriority w:val="1"/>
    <w:qFormat/>
    <w:pPr>
      <w:spacing w:before="120" w:after="120" w:line="300" w:lineRule="auto"/>
    </w:pPr>
    <w:rPr>
      <w:color w:val="2D3748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f21fa73dfb499c" /><Relationship Type="http://schemas.openxmlformats.org/officeDocument/2006/relationships/image" Target="/media/image.png" Id="R3000ae9298ac471e" /><Relationship Type="http://schemas.openxmlformats.org/officeDocument/2006/relationships/footer" Target="/word/footer1.xml" Id="R47fea37d05c64049" /></Relationships>
</file>