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41.png" ContentType="image/png"/>
  <Override PartName="/word/media/rId25.png" ContentType="image/png"/>
  <Override PartName="/word/media/rId49.png" ContentType="image/png"/>
  <Override PartName="/word/media/rId45.png" ContentType="image/png"/>
  <Override PartName="/word/media/rId29.png" ContentType="image/png"/>
  <Override PartName="/word/media/rId21.png" ContentType="image/png"/>
  <Override PartName="/word/media/rId13.png" ContentType="image/png"/>
  <Override PartName="/word/media/rId17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security reviewer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2026.08.06i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2abebad57666334bd436eaba65b6fe382da61eb"/>
    <w:p>
      <w:pPr>
        <w:pStyle w:val="Heading1"/>
      </w:pPr>
      <w:r>
        <w:t xml:space="preserve">Security reviewer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Security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InfoSec, risk, and technical security reviewers evaluating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security excerpt: tenancy, identity, secrets, ingress threats (Ask/RAG and webhooks), content safety, rate limits, commit segregation of duties, audit, and compliance honesty.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Compact"/>
        <w:numPr>
          <w:ilvl w:val="0"/>
          <w:numId w:val="1001"/>
        </w:numPr>
      </w:pPr>
      <w:r>
        <w:t xml:space="preserve">Not a customer architecture review package produced by ArchLucid for a tenantâ€™s systems.</w:t>
      </w:r>
    </w:p>
    <w:p>
      <w:pPr>
        <w:pStyle w:val="Compact"/>
        <w:numPr>
          <w:ilvl w:val="0"/>
          <w:numId w:val="1001"/>
        </w:numPr>
      </w:pPr>
      <w:r>
        <w:t xml:space="preserve">Not a CPA SOC 2 report or a published third-party penetration-test summary.</w:t>
      </w:r>
    </w:p>
    <w:p>
      <w:pPr>
        <w:pStyle w:val="Compact"/>
        <w:numPr>
          <w:ilvl w:val="0"/>
          <w:numId w:val="1001"/>
        </w:numPr>
      </w:pPr>
      <w:r>
        <w:t xml:space="preserve">Not the full platform handbook (DbUp, CI lanes, Polly defaults, every hosted service).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2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2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2"/>
        </w:numPr>
      </w:pPr>
      <w:r>
        <w:t xml:space="preserve">CPA SOC 2 attestation (</w:t>
      </w:r>
      <w:r>
        <w:rPr>
          <w:b/>
          <w:bCs/>
        </w:rPr>
        <w:t xml:space="preserve">G-REAL-05</w:t>
      </w:r>
      <w:r>
        <w:t xml:space="preserve">) and third-party pen-test publication (</w:t>
      </w:r>
      <w:r>
        <w:rPr>
          <w:b/>
          <w:bCs/>
        </w:rPr>
        <w:t xml:space="preserve">G-ASSURANCE-02</w:t>
      </w:r>
      <w:r>
        <w:t xml:space="preserve">) remain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p>
      <w:pPr>
        <w:pStyle w:val="Compact"/>
        <w:numPr>
          <w:ilvl w:val="0"/>
          <w:numId w:val="1002"/>
        </w:numPr>
      </w:pPr>
      <w:r>
        <w:t xml:space="preserve">Content safety and prompt-injection controls reduce risk;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â€œinjection-proof.â€</w:t>
      </w:r>
    </w:p>
    <w:bookmarkEnd w:id="11"/>
    <w:bookmarkEnd w:id="12"/>
    <w:bookmarkStart w:id="16" w:name="system-context-security"/>
    <w:p>
      <w:pPr>
        <w:pStyle w:val="Heading1"/>
      </w:pPr>
      <w:r>
        <w:t xml:space="preserve">1. System context (security)</w:t>
      </w:r>
    </w:p>
    <w:p>
      <w:pPr>
        <w:pStyle w:val="FirstParagraph"/>
      </w:pPr>
      <w:r>
        <w:t xml:space="preserve">ArchLucid is an Azure-first architecture authority platform. Operators use the architect workspace; automation calls the versioned API; SQL holds authoritative run state; Worker drains outboxes. Security review starts from this boundary picture, then zooms into controls below.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bookmarkEnd w:id="16"/>
    <w:bookmarkStart w:id="20" w:name="tenant-isolation-security"/>
    <w:p>
      <w:pPr>
        <w:pStyle w:val="Heading1"/>
      </w:pPr>
      <w:r>
        <w:t xml:space="preserve">2. Tenant isolation (security)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18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0"/>
    <w:bookmarkStart w:id="24" w:name="security-model-security"/>
    <w:p>
      <w:pPr>
        <w:pStyle w:val="Heading1"/>
      </w:pPr>
      <w:r>
        <w:t xml:space="preserve">3. Security model (security)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2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24"/>
    <w:bookmarkStart w:id="28" w:name="entra-role-claims-security"/>
    <w:p>
      <w:pPr>
        <w:pStyle w:val="Heading1"/>
      </w:pPr>
      <w:r>
        <w:t xml:space="preserve">4. Entra role claims (security)</w:t>
      </w:r>
    </w:p>
    <w:p>
      <w:pPr>
        <w:pStyle w:val="FirstParagraph"/>
      </w:pPr>
      <w:r>
        <w:t xml:space="preserve">Entra (or generic OIDC) app roles and SAML attributes are normalized onto</w:t>
      </w:r>
      <w:r>
        <w:t xml:space="preserve"> </w:t>
      </w:r>
      <w:r>
        <w:rPr>
          <w:rStyle w:val="VerbatimChar"/>
        </w:rPr>
        <w:t xml:space="preserve">ArchLucidRoles</w:t>
      </w:r>
      <w:r>
        <w:t xml:space="preserve"> </w:t>
      </w:r>
      <w:r>
        <w:t xml:space="preserve">plus fine-grained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claims. Role sources, Architect/Reviewer aliases, and token diagnostics sit behind the authn-route matrix.</w:t>
      </w:r>
    </w:p>
    <w:p>
      <w:pPr>
        <w:pStyle w:val="CaptionedFigure"/>
      </w:pPr>
      <w:r>
        <w:drawing>
          <wp:inline>
            <wp:extent cx="5334000" cy="1177017"/>
            <wp:effectExtent b="0" l="0" r="0" t="0"/>
            <wp:docPr descr="Entra role claims" title="" id="26" name="Picture"/>
            <a:graphic>
              <a:graphicData uri="http://schemas.openxmlformats.org/drawingml/2006/picture">
                <pic:pic>
                  <pic:nvPicPr>
                    <pic:cNvPr descr="../../architecture_diagrams/archlucid-entra-role-claim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Entra role claims</w:t>
      </w:r>
    </w:p>
    <w:bookmarkEnd w:id="28"/>
    <w:bookmarkStart w:id="32" w:name="secrets-and-key-vault-security"/>
    <w:p>
      <w:pPr>
        <w:pStyle w:val="Heading1"/>
      </w:pPr>
      <w:r>
        <w:t xml:space="preserve">5. Secrets and Key Vault (security)</w:t>
      </w:r>
    </w:p>
    <w:p>
      <w:pPr>
        <w:pStyle w:val="FirstParagraph"/>
      </w:pPr>
      <w:r>
        <w:t xml:space="preserve">Runtime secrets resolve only through</w:t>
      </w:r>
      <w:r>
        <w:t xml:space="preserve"> </w:t>
      </w:r>
      <w:r>
        <w:rPr>
          <w:rStyle w:val="VerbatimChar"/>
        </w:rPr>
        <w:t xml:space="preserve">ISecretProvider</w:t>
      </w:r>
      <w:r>
        <w:t xml:space="preserve"> </w:t>
      </w:r>
      <w:r>
        <w:t xml:space="preserve">(Key Vault or environment, optionally composed). ITSM and Teams store Key Vault</w:t>
      </w:r>
      <w:r>
        <w:t xml:space="preserve"> </w:t>
      </w:r>
      <w:r>
        <w:rPr>
          <w:i/>
          <w:iCs/>
        </w:rPr>
        <w:t xml:space="preserve">secret names</w:t>
      </w:r>
      <w:r>
        <w:t xml:space="preserve">, not raw credentials. Hosted pilots emit Key Vault references from stack generation.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Secrets Key Vault resolution" title="" id="30" name="Picture"/>
            <a:graphic>
              <a:graphicData uri="http://schemas.openxmlformats.org/drawingml/2006/picture">
                <pic:pic>
                  <pic:nvPicPr>
                    <pic:cNvPr descr="../../architecture_diagrams/archlucid-secrets-keyvault-resolu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Secrets Key Vault resolution</w:t>
      </w:r>
    </w:p>
    <w:bookmarkEnd w:id="32"/>
    <w:bookmarkStart w:id="36" w:name="threat-model-â-ask-rag-security"/>
    <w:p>
      <w:pPr>
        <w:pStyle w:val="Heading1"/>
      </w:pPr>
      <w:r>
        <w:t xml:space="preserve">6. Threat model â€” Ask / RAG (security)</w:t>
      </w:r>
    </w:p>
    <w:p>
      <w:pPr>
        <w:pStyle w:val="FirstParagraph"/>
      </w:pPr>
      <w:r>
        <w:t xml:space="preserve">Ask and retrieval paths must preserve tenant scope on embeddings, retrieval, and answer grounding. Treat this diagram as the primary cross-tenant and prompt-abuse surface for conversational featuresâ€”not a claim that every RAG risk is closed.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Threat Ask RAG" title="" id="34" name="Picture"/>
            <a:graphic>
              <a:graphicData uri="http://schemas.openxmlformats.org/drawingml/2006/picture">
                <pic:pic>
                  <pic:nvPicPr>
                    <pic:cNvPr descr="../../architecture_diagrams/archlucid-threat-ask-ra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Ask RAG</w:t>
      </w:r>
    </w:p>
    <w:bookmarkEnd w:id="36"/>
    <w:bookmarkStart w:id="40" w:name="threat-model-â-webhooks-security"/>
    <w:p>
      <w:pPr>
        <w:pStyle w:val="Heading1"/>
      </w:pPr>
      <w:r>
        <w:t xml:space="preserve">7. Threat model â€” webhooks (security)</w:t>
      </w:r>
    </w:p>
    <w:p>
      <w:pPr>
        <w:pStyle w:val="FirstParagraph"/>
      </w:pPr>
      <w:r>
        <w:t xml:space="preserve">Outbound and inbound webhook surfaces use HMAC/CloudEvents envelopes, shared-secret handling, and dry-run probes where enabled. Reviewers should separate</w:t>
      </w:r>
      <w:r>
        <w:t xml:space="preserve"> </w:t>
      </w:r>
      <w:r>
        <w:rPr>
          <w:b/>
          <w:bCs/>
        </w:rPr>
        <w:t xml:space="preserve">outbound delivery</w:t>
      </w:r>
      <w:r>
        <w:t xml:space="preserve"> </w:t>
      </w:r>
      <w:r>
        <w:t xml:space="preserve">(customer HTTP / Service Bus) from</w:t>
      </w:r>
      <w:r>
        <w:t xml:space="preserve"> </w:t>
      </w:r>
      <w:r>
        <w:rPr>
          <w:b/>
          <w:bCs/>
        </w:rPr>
        <w:t xml:space="preserve">inbound</w:t>
      </w:r>
      <w:r>
        <w:t xml:space="preserve"> </w:t>
      </w:r>
      <w:r>
        <w:t xml:space="preserve">abuse assumptions.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Threat webhooks" title="" id="38" name="Picture"/>
            <a:graphic>
              <a:graphicData uri="http://schemas.openxmlformats.org/drawingml/2006/picture">
                <pic:pic>
                  <pic:nvPicPr>
                    <pic:cNvPr descr="../../architecture_diagrams/archlucid-threat-webhook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webhooks</w:t>
      </w:r>
    </w:p>
    <w:bookmarkEnd w:id="40"/>
    <w:bookmarkStart w:id="44" w:name="content-safety-ingress-security"/>
    <w:p>
      <w:pPr>
        <w:pStyle w:val="Heading1"/>
      </w:pPr>
      <w:r>
        <w:t xml:space="preserve">8. Content safety ingress (security)</w:t>
      </w:r>
    </w:p>
    <w:p>
      <w:pPr>
        <w:pStyle w:val="FirstParagraph"/>
      </w:pPr>
      <w:r>
        <w:t xml:space="preserve">Ingress precheck on create-run, Azure AI Content Safety on completion I/O, evidence sanitizers, and prompt redaction form a layered trust boundary. Health probes and regression datasets support the posture without claiming injection-proof.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ontent safety ingress" title="" id="42" name="Picture"/>
            <a:graphic>
              <a:graphicData uri="http://schemas.openxmlformats.org/drawingml/2006/picture">
                <pic:pic>
                  <pic:nvPicPr>
                    <pic:cNvPr descr="../../architecture_diagrams/archlucid-content-safety-ingres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safety ingress</w:t>
      </w:r>
    </w:p>
    <w:bookmarkEnd w:id="44"/>
    <w:bookmarkStart w:id="48" w:name="rate-limiting-security"/>
    <w:p>
      <w:pPr>
        <w:pStyle w:val="Heading1"/>
      </w:pPr>
      <w:r>
        <w:t xml:space="preserve">9. Rate limiting (security)</w:t>
      </w:r>
    </w:p>
    <w:p>
      <w:pPr>
        <w:pStyle w:val="FirstParagraph"/>
      </w:pPr>
      <w:r>
        <w:t xml:space="preserve">ASP.NET rate policies gate fixed, expensive authority, replay, bulk evidence, OTP, and policy-pack dry-run surfaces with role/IP/tenant partitions. Quick Scan identity abuse is a separate admit gate that can also return rate-limited outcomes.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Rate limiting throttling" title="" id="46" name="Picture"/>
            <a:graphic>
              <a:graphicData uri="http://schemas.openxmlformats.org/drawingml/2006/picture">
                <pic:pic>
                  <pic:nvPicPr>
                    <pic:cNvPr descr="../../architecture_diagrams/archlucid-rate-limiting-throttl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Rate limiting throttling</w:t>
      </w:r>
    </w:p>
    <w:bookmarkEnd w:id="48"/>
    <w:bookmarkStart w:id="52" w:name="X7dcada191ff619e2b40969cdffb654fd609bcba"/>
    <w:p>
      <w:pPr>
        <w:pStyle w:val="Heading1"/>
      </w:pPr>
      <w:r>
        <w:t xml:space="preserve">10. Manifest commit segregation of duties (security)</w:t>
      </w:r>
    </w:p>
    <w:p>
      <w:pPr>
        <w:pStyle w:val="FirstParagraph"/>
      </w:pPr>
      <w:r>
        <w:t xml:space="preserve">Finalize runs through an optional pre-commit gate plus SoD that compares Entra-oid actor keys (not display names), blocking self-approval. This is submitterâ‰ approver on approval requestsâ€”not a blanket â€œevery pack blocks commitâ€ rule.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Manifest commit SoD" title="" id="50" name="Picture"/>
            <a:graphic>
              <a:graphicData uri="http://schemas.openxmlformats.org/drawingml/2006/picture">
                <pic:pic>
                  <pic:nvPicPr>
                    <pic:cNvPr descr="../../architecture_diagrams/archlucid-manifest-commit-so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Manifest commit SoD</w:t>
      </w:r>
    </w:p>
    <w:bookmarkEnd w:id="52"/>
    <w:bookmarkStart w:id="56" w:name="audit-event-catalog-security"/>
    <w:p>
      <w:pPr>
        <w:pStyle w:val="Heading1"/>
      </w:pPr>
      <w:r>
        <w:t xml:space="preserve">11. Audit event catalog (security)</w:t>
      </w:r>
    </w:p>
    <w:p>
      <w:pPr>
        <w:pStyle w:val="FirstParagraph"/>
      </w:pPr>
      <w:r>
        <w:t xml:space="preserve">Durable operator and pipeline forensics centralize in</w:t>
      </w:r>
      <w:r>
        <w:t xml:space="preserve"> </w:t>
      </w:r>
      <w:r>
        <w:rPr>
          <w:rStyle w:val="VerbatimChar"/>
        </w:rPr>
        <w:t xml:space="preserve">AuditEventTypes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dbo.AuditEvents</w:t>
      </w:r>
      <w:r>
        <w:t xml:space="preserve">, spanning authority, governance, drafts, notifications, and product-learning signals, with hot-path list shapes and collision tests.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Audit event catalog" title="" id="54" name="Picture"/>
            <a:graphic>
              <a:graphicData uri="http://schemas.openxmlformats.org/drawingml/2006/picture">
                <pic:pic>
                  <pic:nvPicPr>
                    <pic:cNvPr descr="../../architecture_diagrams/archlucid-audit-event-catalo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event catalog</w:t>
      </w:r>
    </w:p>
    <w:bookmarkEnd w:id="56"/>
    <w:bookmarkStart w:id="60" w:name="compliance-claim-honesty-security"/>
    <w:p>
      <w:pPr>
        <w:pStyle w:val="Heading1"/>
      </w:pPr>
      <w:r>
        <w:t xml:space="preserve">12. Compliance claim honesty (security)</w:t>
      </w:r>
    </w:p>
    <w:p>
      <w:pPr>
        <w:pStyle w:val="FirstParagraph"/>
      </w:pPr>
      <w:r>
        <w:t xml:space="preserve">Trust-center and buyer-facing language must not imply a CPA-issued SOC 2 report or a published third-party pen-test summary unless those artifacts exist. Engineering TB rows for program kickoff may be Done while GTM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58" name="Picture"/>
            <a:graphic>
              <a:graphicData uri="http://schemas.openxmlformats.org/drawingml/2006/picture">
                <pic:pic>
                  <pic:nvPicPr>
                    <pic:cNvPr descr="../../architecture_diagrams/archlucid-compliance-claim-honest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60"/>
    <w:bookmarkStart w:id="61" w:name="security-reviewer-references"/>
    <w:p>
      <w:pPr>
        <w:pStyle w:val="Heading1"/>
      </w:pPr>
      <w:r>
        <w:t xml:space="preserve">Security reviewer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trust / topology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docs/architecture/architecture_handbook/buyer/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0034 SoD actor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docs/architecture/adrs/0034-segregation-of-duties-entra-oid-actor-keys.md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production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0061 DDoS / rate posture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docs/architecture/adrs/0061-ddos-protection-posture-v1.md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2026-08-06T22:04:11Z</dcterms:created>
  <dcterms:modified xsi:type="dcterms:W3CDTF">2026-08-06T22:04:11Z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