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832" w14:textId="5F0767CE" w:rsidR="00541BB2" w:rsidRPr="004049B3" w:rsidRDefault="00D44086" w:rsidP="00D44086">
      <w:pPr>
        <w:jc w:val="center"/>
        <w:rPr>
          <w:b/>
          <w:bCs/>
          <w:sz w:val="25"/>
          <w:szCs w:val="25"/>
          <w:u w:val="single"/>
        </w:rPr>
      </w:pPr>
      <w:r w:rsidRPr="004049B3">
        <w:rPr>
          <w:b/>
          <w:bCs/>
          <w:sz w:val="25"/>
          <w:szCs w:val="25"/>
          <w:u w:val="single"/>
        </w:rPr>
        <w:t>FINDINGS OF FACT AND DECISION</w:t>
      </w:r>
    </w:p>
    <w:p w14:paraId="42B9BF2C" w14:textId="6AE7CC34" w:rsidR="00D44086" w:rsidRPr="004049B3" w:rsidRDefault="00D44086" w:rsidP="00D44086">
      <w:pPr>
        <w:rPr>
          <w:b/>
          <w:bCs/>
          <w:sz w:val="25"/>
          <w:szCs w:val="25"/>
        </w:rPr>
      </w:pPr>
    </w:p>
    <w:p w14:paraId="50FD467F" w14:textId="75219CCA" w:rsidR="00D44086" w:rsidRPr="004049B3" w:rsidRDefault="00D44086" w:rsidP="383ABFDB">
      <w:pPr>
        <w:ind w:left="720" w:firstLine="720"/>
        <w:rPr>
          <w:sz w:val="25"/>
          <w:szCs w:val="25"/>
        </w:rPr>
      </w:pPr>
      <w:r w:rsidRPr="004049B3">
        <w:rPr>
          <w:b/>
          <w:bCs/>
          <w:sz w:val="25"/>
          <w:szCs w:val="25"/>
        </w:rPr>
        <w:t>Case Number:</w:t>
      </w:r>
      <w:r w:rsidRPr="004049B3">
        <w:tab/>
      </w:r>
      <w:r w:rsidRPr="004049B3">
        <w:tab/>
      </w:r>
      <w:r w:rsidRPr="004049B3">
        <w:tab/>
      </w:r>
      <w:bookmarkStart w:id="0" w:name="_Hlk171344137"/>
      <w:r w:rsidR="003E5FA0" w:rsidRPr="004049B3">
        <w:rPr>
          <w:rFonts w:cs="Times New Roman"/>
        </w:rPr>
        <w:t>27</w:t>
      </w:r>
      <w:bookmarkEnd w:id="0"/>
      <w:r w:rsidR="004049B3" w:rsidRPr="004049B3">
        <w:rPr>
          <w:rFonts w:cs="Times New Roman"/>
        </w:rPr>
        <w:t>4415</w:t>
      </w:r>
    </w:p>
    <w:p w14:paraId="5EE86771" w14:textId="06D3726B" w:rsidR="00D44086" w:rsidRPr="004049B3" w:rsidRDefault="00D44086" w:rsidP="20FC5881">
      <w:pPr>
        <w:ind w:left="720" w:firstLine="720"/>
        <w:rPr>
          <w:sz w:val="25"/>
          <w:szCs w:val="25"/>
        </w:rPr>
      </w:pPr>
      <w:r w:rsidRPr="004049B3">
        <w:rPr>
          <w:b/>
          <w:bCs/>
          <w:sz w:val="25"/>
          <w:szCs w:val="25"/>
        </w:rPr>
        <w:t>Student’s Name:</w:t>
      </w:r>
      <w:r w:rsidRPr="004049B3">
        <w:tab/>
      </w:r>
      <w:r w:rsidRPr="004049B3">
        <w:tab/>
      </w:r>
      <w:r w:rsidRPr="004049B3">
        <w:tab/>
      </w:r>
      <w:r w:rsidR="00A17184">
        <w:rPr>
          <w:sz w:val="25"/>
          <w:szCs w:val="25"/>
        </w:rPr>
        <w:t>REDACTED</w:t>
      </w:r>
    </w:p>
    <w:p w14:paraId="11C94911" w14:textId="7B38D82E" w:rsidR="00D44086" w:rsidRPr="004049B3" w:rsidRDefault="01C82782" w:rsidP="383ABFDB">
      <w:pPr>
        <w:ind w:left="720" w:firstLine="720"/>
        <w:rPr>
          <w:b/>
          <w:bCs/>
          <w:sz w:val="25"/>
          <w:szCs w:val="25"/>
        </w:rPr>
      </w:pPr>
      <w:r w:rsidRPr="004049B3">
        <w:rPr>
          <w:b/>
          <w:bCs/>
          <w:sz w:val="25"/>
          <w:szCs w:val="25"/>
        </w:rPr>
        <w:t xml:space="preserve">School </w:t>
      </w:r>
      <w:r w:rsidR="00F94010" w:rsidRPr="004049B3">
        <w:rPr>
          <w:b/>
          <w:bCs/>
          <w:sz w:val="25"/>
          <w:szCs w:val="25"/>
        </w:rPr>
        <w:t>District:</w:t>
      </w:r>
      <w:r w:rsidRPr="004049B3">
        <w:tab/>
      </w:r>
      <w:r w:rsidRPr="004049B3">
        <w:tab/>
      </w:r>
      <w:r w:rsidRPr="004049B3">
        <w:tab/>
      </w:r>
      <w:r w:rsidR="00A17184">
        <w:rPr>
          <w:sz w:val="25"/>
          <w:szCs w:val="25"/>
        </w:rPr>
        <w:t>REDACTED</w:t>
      </w:r>
    </w:p>
    <w:p w14:paraId="206795BD" w14:textId="2C280204" w:rsidR="00D44086" w:rsidRPr="004049B3" w:rsidRDefault="00D44086" w:rsidP="00D44086">
      <w:pPr>
        <w:ind w:left="720" w:firstLine="720"/>
        <w:rPr>
          <w:b/>
          <w:bCs/>
          <w:sz w:val="25"/>
          <w:szCs w:val="25"/>
        </w:rPr>
      </w:pPr>
      <w:r w:rsidRPr="004049B3">
        <w:rPr>
          <w:b/>
          <w:bCs/>
          <w:sz w:val="25"/>
          <w:szCs w:val="25"/>
        </w:rPr>
        <w:t>Impartial Hearing Officer:</w:t>
      </w:r>
      <w:r w:rsidRPr="004049B3">
        <w:rPr>
          <w:b/>
          <w:bCs/>
          <w:sz w:val="25"/>
          <w:szCs w:val="25"/>
        </w:rPr>
        <w:tab/>
      </w:r>
      <w:r w:rsidRPr="004049B3">
        <w:rPr>
          <w:b/>
          <w:bCs/>
          <w:sz w:val="25"/>
          <w:szCs w:val="25"/>
        </w:rPr>
        <w:tab/>
      </w:r>
      <w:r w:rsidR="00B941D0" w:rsidRPr="004049B3">
        <w:rPr>
          <w:sz w:val="25"/>
          <w:szCs w:val="25"/>
        </w:rPr>
        <w:t>Hannah Schwager, Esq.</w:t>
      </w:r>
      <w:r w:rsidR="00B941D0" w:rsidRPr="004049B3">
        <w:rPr>
          <w:b/>
          <w:bCs/>
          <w:sz w:val="25"/>
          <w:szCs w:val="25"/>
        </w:rPr>
        <w:t xml:space="preserve"> </w:t>
      </w:r>
      <w:r w:rsidR="00C060EF" w:rsidRPr="004049B3">
        <w:rPr>
          <w:b/>
          <w:bCs/>
          <w:sz w:val="25"/>
          <w:szCs w:val="25"/>
        </w:rPr>
        <w:t xml:space="preserve"> </w:t>
      </w:r>
    </w:p>
    <w:p w14:paraId="10E92F57" w14:textId="46A9FD56" w:rsidR="00D44086" w:rsidRPr="004049B3" w:rsidRDefault="00D44086" w:rsidP="00D44086">
      <w:pPr>
        <w:ind w:left="720" w:firstLine="720"/>
        <w:rPr>
          <w:sz w:val="25"/>
          <w:szCs w:val="25"/>
        </w:rPr>
      </w:pPr>
      <w:r w:rsidRPr="004049B3">
        <w:rPr>
          <w:b/>
          <w:bCs/>
          <w:sz w:val="25"/>
          <w:szCs w:val="25"/>
        </w:rPr>
        <w:t xml:space="preserve">Date of </w:t>
      </w:r>
      <w:r w:rsidR="00C1548F" w:rsidRPr="004049B3">
        <w:rPr>
          <w:b/>
          <w:bCs/>
          <w:sz w:val="25"/>
          <w:szCs w:val="25"/>
        </w:rPr>
        <w:t>Filing</w:t>
      </w:r>
      <w:r w:rsidRPr="004049B3">
        <w:rPr>
          <w:b/>
          <w:bCs/>
          <w:sz w:val="25"/>
          <w:szCs w:val="25"/>
        </w:rPr>
        <w:t>:</w:t>
      </w:r>
      <w:r w:rsidR="00C1548F" w:rsidRPr="004049B3">
        <w:rPr>
          <w:b/>
          <w:bCs/>
          <w:sz w:val="25"/>
          <w:szCs w:val="25"/>
        </w:rPr>
        <w:tab/>
      </w:r>
      <w:r w:rsidR="00C1548F" w:rsidRPr="004049B3">
        <w:rPr>
          <w:b/>
          <w:bCs/>
          <w:sz w:val="25"/>
          <w:szCs w:val="25"/>
        </w:rPr>
        <w:tab/>
      </w:r>
      <w:r w:rsidRPr="004049B3">
        <w:rPr>
          <w:b/>
          <w:bCs/>
          <w:sz w:val="25"/>
          <w:szCs w:val="25"/>
        </w:rPr>
        <w:tab/>
      </w:r>
      <w:r w:rsidR="004049B3" w:rsidRPr="004049B3">
        <w:rPr>
          <w:sz w:val="25"/>
          <w:szCs w:val="25"/>
        </w:rPr>
        <w:t>June 4, 2024</w:t>
      </w:r>
    </w:p>
    <w:p w14:paraId="1256022D" w14:textId="644547FF" w:rsidR="00D44086" w:rsidRPr="004049B3" w:rsidRDefault="00D44086" w:rsidP="00D44086">
      <w:pPr>
        <w:ind w:left="720" w:firstLine="720"/>
        <w:rPr>
          <w:b/>
          <w:bCs/>
          <w:sz w:val="25"/>
          <w:szCs w:val="25"/>
        </w:rPr>
      </w:pPr>
      <w:r w:rsidRPr="004049B3">
        <w:rPr>
          <w:b/>
          <w:bCs/>
          <w:sz w:val="25"/>
          <w:szCs w:val="25"/>
        </w:rPr>
        <w:t>Hearing Requested by:</w:t>
      </w:r>
      <w:r w:rsidRPr="004049B3">
        <w:rPr>
          <w:b/>
          <w:bCs/>
          <w:sz w:val="25"/>
          <w:szCs w:val="25"/>
        </w:rPr>
        <w:tab/>
      </w:r>
      <w:r w:rsidRPr="004049B3">
        <w:rPr>
          <w:b/>
          <w:bCs/>
          <w:sz w:val="25"/>
          <w:szCs w:val="25"/>
        </w:rPr>
        <w:tab/>
      </w:r>
      <w:r w:rsidRPr="004049B3">
        <w:rPr>
          <w:sz w:val="25"/>
          <w:szCs w:val="25"/>
        </w:rPr>
        <w:t>Parent</w:t>
      </w:r>
    </w:p>
    <w:p w14:paraId="58DABCCB" w14:textId="1CC03575" w:rsidR="00B458B9" w:rsidRPr="00CE7FDC" w:rsidRDefault="00D44086" w:rsidP="00C428BF">
      <w:pPr>
        <w:ind w:left="720" w:firstLine="720"/>
        <w:rPr>
          <w:b/>
          <w:bCs/>
          <w:sz w:val="25"/>
          <w:szCs w:val="25"/>
        </w:rPr>
      </w:pPr>
      <w:r w:rsidRPr="00CE7FDC">
        <w:rPr>
          <w:b/>
          <w:bCs/>
          <w:sz w:val="25"/>
          <w:szCs w:val="25"/>
        </w:rPr>
        <w:t>Date</w:t>
      </w:r>
      <w:r w:rsidR="00834331" w:rsidRPr="00CE7FDC">
        <w:rPr>
          <w:b/>
          <w:bCs/>
          <w:sz w:val="25"/>
          <w:szCs w:val="25"/>
        </w:rPr>
        <w:t>(s)</w:t>
      </w:r>
      <w:r w:rsidRPr="00CE7FDC">
        <w:rPr>
          <w:b/>
          <w:bCs/>
          <w:sz w:val="25"/>
          <w:szCs w:val="25"/>
        </w:rPr>
        <w:t xml:space="preserve"> of Hearing:</w:t>
      </w:r>
      <w:r w:rsidRPr="00CE7FDC">
        <w:rPr>
          <w:b/>
          <w:bCs/>
          <w:sz w:val="25"/>
          <w:szCs w:val="25"/>
        </w:rPr>
        <w:tab/>
      </w:r>
      <w:r w:rsidRPr="00CE7FDC">
        <w:rPr>
          <w:b/>
          <w:bCs/>
          <w:sz w:val="25"/>
          <w:szCs w:val="25"/>
        </w:rPr>
        <w:tab/>
      </w:r>
      <w:r w:rsidR="006D3163" w:rsidRPr="00CE7FDC">
        <w:rPr>
          <w:b/>
          <w:bCs/>
          <w:sz w:val="25"/>
          <w:szCs w:val="25"/>
        </w:rPr>
        <w:tab/>
      </w:r>
      <w:r w:rsidR="00CE7FDC" w:rsidRPr="00CE7FDC">
        <w:rPr>
          <w:sz w:val="25"/>
          <w:szCs w:val="25"/>
        </w:rPr>
        <w:t>November 15, 2024</w:t>
      </w:r>
    </w:p>
    <w:p w14:paraId="59BB9A1F" w14:textId="312FFEE4" w:rsidR="00D44086" w:rsidRPr="00A73A42" w:rsidRDefault="00D44086" w:rsidP="20FC5881">
      <w:pPr>
        <w:ind w:left="720" w:firstLine="720"/>
        <w:rPr>
          <w:b/>
          <w:bCs/>
          <w:sz w:val="25"/>
          <w:szCs w:val="25"/>
        </w:rPr>
      </w:pPr>
      <w:r w:rsidRPr="00A73A42">
        <w:rPr>
          <w:b/>
          <w:bCs/>
          <w:sz w:val="25"/>
          <w:szCs w:val="25"/>
        </w:rPr>
        <w:t>Record Close Date:</w:t>
      </w:r>
      <w:r w:rsidRPr="00A73A42">
        <w:tab/>
      </w:r>
      <w:r w:rsidRPr="00A73A42">
        <w:tab/>
      </w:r>
      <w:r w:rsidRPr="00A73A42">
        <w:tab/>
      </w:r>
      <w:r w:rsidR="00CE7FDC" w:rsidRPr="00A73A42">
        <w:rPr>
          <w:sz w:val="25"/>
          <w:szCs w:val="25"/>
        </w:rPr>
        <w:t>December 1</w:t>
      </w:r>
      <w:r w:rsidR="003B4973" w:rsidRPr="00A73A42">
        <w:rPr>
          <w:sz w:val="25"/>
          <w:szCs w:val="25"/>
        </w:rPr>
        <w:t>7</w:t>
      </w:r>
      <w:r w:rsidR="00CE7FDC" w:rsidRPr="00A73A42">
        <w:rPr>
          <w:sz w:val="25"/>
          <w:szCs w:val="25"/>
        </w:rPr>
        <w:t>, 2024</w:t>
      </w:r>
      <w:r w:rsidR="00AA5D28" w:rsidRPr="00A73A42">
        <w:rPr>
          <w:sz w:val="25"/>
          <w:szCs w:val="25"/>
        </w:rPr>
        <w:t xml:space="preserve"> </w:t>
      </w:r>
    </w:p>
    <w:p w14:paraId="21DFEDEA" w14:textId="046C1AC8" w:rsidR="00D44086" w:rsidRPr="00A73A42" w:rsidRDefault="00D44086" w:rsidP="20FC5881">
      <w:pPr>
        <w:ind w:left="720" w:firstLine="720"/>
        <w:rPr>
          <w:b/>
          <w:bCs/>
          <w:sz w:val="25"/>
          <w:szCs w:val="25"/>
        </w:rPr>
      </w:pPr>
      <w:r w:rsidRPr="00A73A42">
        <w:rPr>
          <w:b/>
          <w:bCs/>
          <w:sz w:val="25"/>
          <w:szCs w:val="25"/>
        </w:rPr>
        <w:t>Date of Decision:</w:t>
      </w:r>
      <w:r w:rsidRPr="00A73A42">
        <w:tab/>
      </w:r>
      <w:r w:rsidRPr="00A73A42">
        <w:tab/>
      </w:r>
      <w:r w:rsidRPr="00A73A42">
        <w:tab/>
      </w:r>
      <w:r w:rsidR="00CE7FDC" w:rsidRPr="00A73A42">
        <w:rPr>
          <w:sz w:val="25"/>
          <w:szCs w:val="25"/>
        </w:rPr>
        <w:t>December 1</w:t>
      </w:r>
      <w:r w:rsidR="003B4973" w:rsidRPr="00A73A42">
        <w:rPr>
          <w:sz w:val="25"/>
          <w:szCs w:val="25"/>
        </w:rPr>
        <w:t>7</w:t>
      </w:r>
      <w:r w:rsidR="00CE7FDC" w:rsidRPr="00A73A42">
        <w:rPr>
          <w:sz w:val="25"/>
          <w:szCs w:val="25"/>
        </w:rPr>
        <w:t>, 2024</w:t>
      </w:r>
      <w:r w:rsidRPr="00A73A42">
        <w:rPr>
          <w:b/>
          <w:bCs/>
          <w:sz w:val="25"/>
          <w:szCs w:val="25"/>
        </w:rPr>
        <w:fldChar w:fldCharType="begin"/>
      </w:r>
      <w:r w:rsidRPr="00A73A42">
        <w:rPr>
          <w:b/>
          <w:bCs/>
          <w:sz w:val="25"/>
          <w:szCs w:val="25"/>
        </w:rPr>
        <w:instrText xml:space="preserve"> MERGEFIELD FOFD \@ "M/d/yyyy"</w:instrText>
      </w:r>
      <w:r w:rsidR="00AA1847">
        <w:rPr>
          <w:b/>
          <w:bCs/>
          <w:sz w:val="25"/>
          <w:szCs w:val="25"/>
        </w:rPr>
        <w:fldChar w:fldCharType="separate"/>
      </w:r>
      <w:r w:rsidRPr="00A73A42">
        <w:rPr>
          <w:b/>
          <w:bCs/>
          <w:sz w:val="25"/>
          <w:szCs w:val="25"/>
        </w:rPr>
        <w:fldChar w:fldCharType="end"/>
      </w:r>
    </w:p>
    <w:p w14:paraId="50F17158" w14:textId="34954C24" w:rsidR="00D44086" w:rsidRPr="004049B3" w:rsidRDefault="00D44086" w:rsidP="00D44086">
      <w:pPr>
        <w:ind w:left="720" w:firstLine="720"/>
        <w:rPr>
          <w:color w:val="FF0000"/>
          <w:sz w:val="25"/>
          <w:szCs w:val="25"/>
        </w:rPr>
      </w:pPr>
    </w:p>
    <w:p w14:paraId="5E96C138" w14:textId="587F5E67" w:rsidR="00C1548F" w:rsidRPr="004049B3" w:rsidRDefault="00C1548F" w:rsidP="00D44086">
      <w:pPr>
        <w:ind w:left="720" w:firstLine="720"/>
        <w:rPr>
          <w:color w:val="FF0000"/>
          <w:sz w:val="25"/>
          <w:szCs w:val="25"/>
        </w:rPr>
      </w:pPr>
    </w:p>
    <w:p w14:paraId="29558630" w14:textId="5CD3A31C" w:rsidR="00C1548F" w:rsidRPr="004049B3" w:rsidRDefault="00C1548F" w:rsidP="00D44086">
      <w:pPr>
        <w:ind w:left="720" w:firstLine="720"/>
        <w:rPr>
          <w:color w:val="FF0000"/>
          <w:sz w:val="25"/>
          <w:szCs w:val="25"/>
        </w:rPr>
      </w:pPr>
    </w:p>
    <w:p w14:paraId="3E255884" w14:textId="39C196A5" w:rsidR="003C3ED1" w:rsidRPr="004049B3" w:rsidRDefault="003C3ED1" w:rsidP="00D44086">
      <w:pPr>
        <w:ind w:left="720" w:firstLine="720"/>
        <w:rPr>
          <w:color w:val="FF0000"/>
          <w:sz w:val="25"/>
          <w:szCs w:val="25"/>
        </w:rPr>
      </w:pPr>
    </w:p>
    <w:p w14:paraId="52BD17D9" w14:textId="3B48CCDA" w:rsidR="003C3ED1" w:rsidRPr="004049B3" w:rsidRDefault="003C3ED1" w:rsidP="00D44086">
      <w:pPr>
        <w:ind w:left="720" w:firstLine="720"/>
        <w:rPr>
          <w:color w:val="FF0000"/>
          <w:sz w:val="25"/>
          <w:szCs w:val="25"/>
        </w:rPr>
      </w:pPr>
    </w:p>
    <w:p w14:paraId="72E7AC0C" w14:textId="3CC034EE" w:rsidR="003C3ED1" w:rsidRPr="004049B3" w:rsidRDefault="003C3ED1" w:rsidP="00D44086">
      <w:pPr>
        <w:ind w:left="720" w:firstLine="720"/>
        <w:rPr>
          <w:color w:val="FF0000"/>
          <w:sz w:val="25"/>
          <w:szCs w:val="25"/>
        </w:rPr>
      </w:pPr>
    </w:p>
    <w:p w14:paraId="34BB6FF2" w14:textId="15C25675" w:rsidR="003C3ED1" w:rsidRPr="004049B3" w:rsidRDefault="003C3ED1" w:rsidP="00D44086">
      <w:pPr>
        <w:ind w:left="720" w:firstLine="720"/>
        <w:rPr>
          <w:color w:val="FF0000"/>
          <w:sz w:val="25"/>
          <w:szCs w:val="25"/>
        </w:rPr>
      </w:pPr>
    </w:p>
    <w:p w14:paraId="5B7B7B2D" w14:textId="2B3161CA" w:rsidR="003C3ED1" w:rsidRPr="004049B3" w:rsidRDefault="003C3ED1" w:rsidP="00D44086">
      <w:pPr>
        <w:ind w:left="720" w:firstLine="720"/>
        <w:rPr>
          <w:color w:val="FF0000"/>
          <w:sz w:val="25"/>
          <w:szCs w:val="25"/>
        </w:rPr>
      </w:pPr>
    </w:p>
    <w:p w14:paraId="20814033" w14:textId="1988B8C0" w:rsidR="003C3ED1" w:rsidRPr="004049B3" w:rsidRDefault="003C3ED1" w:rsidP="00D44086">
      <w:pPr>
        <w:ind w:left="720" w:firstLine="720"/>
        <w:rPr>
          <w:color w:val="FF0000"/>
          <w:sz w:val="25"/>
          <w:szCs w:val="25"/>
        </w:rPr>
      </w:pPr>
    </w:p>
    <w:p w14:paraId="2D245785" w14:textId="663E64E0" w:rsidR="003C3ED1" w:rsidRPr="004049B3" w:rsidRDefault="003C3ED1" w:rsidP="00D44086">
      <w:pPr>
        <w:ind w:left="720" w:firstLine="720"/>
        <w:rPr>
          <w:color w:val="FF0000"/>
          <w:sz w:val="25"/>
          <w:szCs w:val="25"/>
        </w:rPr>
      </w:pPr>
    </w:p>
    <w:p w14:paraId="02B0E43C" w14:textId="573072C4" w:rsidR="003C3ED1" w:rsidRPr="004049B3" w:rsidRDefault="003C3ED1" w:rsidP="00D44086">
      <w:pPr>
        <w:ind w:left="720" w:firstLine="720"/>
        <w:rPr>
          <w:color w:val="FF0000"/>
          <w:sz w:val="25"/>
          <w:szCs w:val="25"/>
        </w:rPr>
      </w:pPr>
    </w:p>
    <w:p w14:paraId="78AFA00B" w14:textId="049BCAD9" w:rsidR="003C3ED1" w:rsidRPr="004049B3" w:rsidRDefault="003C3ED1" w:rsidP="00D44086">
      <w:pPr>
        <w:ind w:left="720" w:firstLine="720"/>
        <w:rPr>
          <w:color w:val="FF0000"/>
          <w:sz w:val="25"/>
          <w:szCs w:val="25"/>
        </w:rPr>
      </w:pPr>
    </w:p>
    <w:p w14:paraId="67C19C41" w14:textId="09945703" w:rsidR="003C3ED1" w:rsidRPr="004049B3" w:rsidRDefault="003C3ED1" w:rsidP="00D44086">
      <w:pPr>
        <w:ind w:left="720" w:firstLine="720"/>
        <w:rPr>
          <w:color w:val="FF0000"/>
          <w:sz w:val="25"/>
          <w:szCs w:val="25"/>
        </w:rPr>
      </w:pPr>
    </w:p>
    <w:p w14:paraId="1ADAC910" w14:textId="56601C6A" w:rsidR="003C3ED1" w:rsidRPr="004049B3" w:rsidRDefault="003C3ED1" w:rsidP="00D44086">
      <w:pPr>
        <w:ind w:left="720" w:firstLine="720"/>
        <w:rPr>
          <w:color w:val="FF0000"/>
          <w:sz w:val="25"/>
          <w:szCs w:val="25"/>
        </w:rPr>
      </w:pPr>
    </w:p>
    <w:p w14:paraId="402EF1CA" w14:textId="77777777" w:rsidR="003C3ED1" w:rsidRPr="004049B3" w:rsidRDefault="003C3ED1" w:rsidP="00D44086">
      <w:pPr>
        <w:ind w:left="720" w:firstLine="720"/>
        <w:rPr>
          <w:color w:val="FF0000"/>
          <w:sz w:val="25"/>
          <w:szCs w:val="25"/>
        </w:rPr>
      </w:pPr>
    </w:p>
    <w:p w14:paraId="6FB360D3" w14:textId="4F966574" w:rsidR="00D44086" w:rsidRPr="004049B3" w:rsidRDefault="00D44086" w:rsidP="00D44086">
      <w:pPr>
        <w:ind w:left="720" w:firstLine="720"/>
        <w:rPr>
          <w:color w:val="FF0000"/>
          <w:sz w:val="25"/>
          <w:szCs w:val="25"/>
        </w:rPr>
      </w:pPr>
    </w:p>
    <w:p w14:paraId="57BEF512" w14:textId="53CC9CE3" w:rsidR="00D44086" w:rsidRPr="004049B3" w:rsidRDefault="00D44086" w:rsidP="00D44086">
      <w:pPr>
        <w:ind w:left="720" w:firstLine="720"/>
        <w:rPr>
          <w:color w:val="FF0000"/>
          <w:sz w:val="25"/>
          <w:szCs w:val="25"/>
        </w:rPr>
      </w:pPr>
    </w:p>
    <w:p w14:paraId="6BAB9923" w14:textId="311ECA67" w:rsidR="00D44086" w:rsidRPr="004049B3" w:rsidRDefault="00D44086" w:rsidP="00D44086">
      <w:pPr>
        <w:ind w:left="720" w:firstLine="720"/>
        <w:rPr>
          <w:color w:val="FF0000"/>
          <w:sz w:val="25"/>
          <w:szCs w:val="25"/>
        </w:rPr>
      </w:pPr>
    </w:p>
    <w:p w14:paraId="0547A079" w14:textId="27E3E746" w:rsidR="00D44086" w:rsidRPr="004049B3" w:rsidRDefault="00D44086" w:rsidP="00D44086">
      <w:pPr>
        <w:ind w:left="720" w:firstLine="720"/>
        <w:rPr>
          <w:color w:val="FF0000"/>
          <w:sz w:val="25"/>
          <w:szCs w:val="25"/>
        </w:rPr>
      </w:pPr>
    </w:p>
    <w:p w14:paraId="6D2C2D70" w14:textId="52D806B1" w:rsidR="00D44086" w:rsidRPr="004049B3" w:rsidRDefault="00D44086" w:rsidP="00D44086">
      <w:pPr>
        <w:ind w:left="720" w:firstLine="720"/>
        <w:rPr>
          <w:color w:val="FF0000"/>
          <w:sz w:val="25"/>
          <w:szCs w:val="25"/>
        </w:rPr>
      </w:pPr>
    </w:p>
    <w:p w14:paraId="44858872" w14:textId="51D05694" w:rsidR="00D44086" w:rsidRPr="004049B3" w:rsidRDefault="00D44086" w:rsidP="00D44086">
      <w:pPr>
        <w:ind w:left="720" w:firstLine="720"/>
        <w:rPr>
          <w:color w:val="FF0000"/>
          <w:sz w:val="25"/>
          <w:szCs w:val="25"/>
        </w:rPr>
      </w:pPr>
    </w:p>
    <w:p w14:paraId="40964B73" w14:textId="60D952E4" w:rsidR="00D44086" w:rsidRPr="004049B3" w:rsidRDefault="00D44086" w:rsidP="00D44086">
      <w:pPr>
        <w:ind w:left="720" w:firstLine="720"/>
        <w:rPr>
          <w:color w:val="FF0000"/>
          <w:sz w:val="25"/>
          <w:szCs w:val="25"/>
        </w:rPr>
      </w:pPr>
    </w:p>
    <w:p w14:paraId="0C4DE60C" w14:textId="237F1F72" w:rsidR="00D44086" w:rsidRPr="004049B3" w:rsidRDefault="00D44086" w:rsidP="00D44086">
      <w:pPr>
        <w:ind w:left="720" w:firstLine="720"/>
        <w:rPr>
          <w:color w:val="FF0000"/>
          <w:sz w:val="25"/>
          <w:szCs w:val="25"/>
        </w:rPr>
      </w:pPr>
    </w:p>
    <w:p w14:paraId="5EE61E05" w14:textId="3D1A9C34" w:rsidR="00D44086" w:rsidRPr="004049B3" w:rsidRDefault="00D44086" w:rsidP="00D44086">
      <w:pPr>
        <w:ind w:left="720" w:firstLine="720"/>
        <w:rPr>
          <w:color w:val="FF0000"/>
          <w:sz w:val="25"/>
          <w:szCs w:val="25"/>
        </w:rPr>
      </w:pPr>
    </w:p>
    <w:p w14:paraId="40E7506E" w14:textId="05056820" w:rsidR="00D44086" w:rsidRPr="004049B3" w:rsidRDefault="00D44086" w:rsidP="00D44086">
      <w:pPr>
        <w:ind w:left="720" w:firstLine="720"/>
        <w:rPr>
          <w:color w:val="FF0000"/>
          <w:sz w:val="25"/>
          <w:szCs w:val="25"/>
        </w:rPr>
      </w:pPr>
    </w:p>
    <w:p w14:paraId="3B785723" w14:textId="12B3A672" w:rsidR="00D44086" w:rsidRPr="004049B3" w:rsidRDefault="00D44086" w:rsidP="00D44086">
      <w:pPr>
        <w:ind w:left="720" w:firstLine="720"/>
        <w:rPr>
          <w:color w:val="FF0000"/>
          <w:sz w:val="25"/>
          <w:szCs w:val="25"/>
        </w:rPr>
      </w:pPr>
    </w:p>
    <w:p w14:paraId="110516E5" w14:textId="0B4BFA81" w:rsidR="00D44086" w:rsidRPr="004049B3" w:rsidRDefault="00D44086" w:rsidP="00D44086">
      <w:pPr>
        <w:ind w:left="720" w:firstLine="720"/>
        <w:rPr>
          <w:color w:val="FF0000"/>
          <w:sz w:val="25"/>
          <w:szCs w:val="25"/>
        </w:rPr>
      </w:pPr>
    </w:p>
    <w:p w14:paraId="7CD5D9E3" w14:textId="3314CE0E" w:rsidR="00D44086" w:rsidRPr="004049B3" w:rsidRDefault="00D44086" w:rsidP="00D44086">
      <w:pPr>
        <w:ind w:left="720" w:firstLine="720"/>
        <w:rPr>
          <w:color w:val="FF0000"/>
          <w:sz w:val="25"/>
          <w:szCs w:val="25"/>
        </w:rPr>
      </w:pPr>
    </w:p>
    <w:p w14:paraId="1A092C25" w14:textId="77777777" w:rsidR="004A0E08" w:rsidRPr="004049B3" w:rsidRDefault="004A0E08" w:rsidP="00D44086">
      <w:pPr>
        <w:ind w:left="720" w:firstLine="720"/>
        <w:rPr>
          <w:color w:val="FF0000"/>
          <w:sz w:val="25"/>
          <w:szCs w:val="25"/>
        </w:rPr>
      </w:pPr>
    </w:p>
    <w:p w14:paraId="32BF4382" w14:textId="77777777" w:rsidR="004A0E08" w:rsidRPr="004049B3" w:rsidRDefault="004A0E08" w:rsidP="00D44086">
      <w:pPr>
        <w:ind w:left="720" w:firstLine="720"/>
        <w:rPr>
          <w:color w:val="FF0000"/>
          <w:sz w:val="25"/>
          <w:szCs w:val="25"/>
        </w:rPr>
      </w:pPr>
    </w:p>
    <w:p w14:paraId="3FD41A81" w14:textId="47098E1F" w:rsidR="00D44086" w:rsidRPr="004049B3" w:rsidRDefault="00D44086" w:rsidP="00D44086">
      <w:pPr>
        <w:rPr>
          <w:color w:val="FF0000"/>
          <w:sz w:val="25"/>
          <w:szCs w:val="25"/>
        </w:rPr>
      </w:pPr>
    </w:p>
    <w:p w14:paraId="63FE9FB5" w14:textId="53603EFE" w:rsidR="003C3ED1" w:rsidRPr="00950573" w:rsidRDefault="003C3ED1" w:rsidP="003C3ED1">
      <w:pPr>
        <w:jc w:val="center"/>
        <w:rPr>
          <w:b/>
          <w:bCs/>
          <w:u w:val="single"/>
        </w:rPr>
      </w:pPr>
      <w:r w:rsidRPr="00950573">
        <w:rPr>
          <w:b/>
          <w:bCs/>
          <w:u w:val="single"/>
        </w:rPr>
        <w:lastRenderedPageBreak/>
        <w:t xml:space="preserve">Names and Titles of Persons Who Appeared </w:t>
      </w:r>
      <w:r w:rsidR="00CE7FDC" w:rsidRPr="00950573">
        <w:rPr>
          <w:b/>
          <w:bCs/>
          <w:u w:val="single"/>
        </w:rPr>
        <w:t>November 15, 2024</w:t>
      </w:r>
    </w:p>
    <w:p w14:paraId="3A41CDFA" w14:textId="77777777" w:rsidR="003C3ED1" w:rsidRPr="00950573" w:rsidRDefault="003C3ED1" w:rsidP="003C3ED1"/>
    <w:p w14:paraId="0987C6E4" w14:textId="77777777" w:rsidR="003C3ED1" w:rsidRPr="00950573" w:rsidRDefault="003C3ED1" w:rsidP="003C3ED1">
      <w:pPr>
        <w:rPr>
          <w:b/>
          <w:bCs/>
          <w:u w:val="single"/>
        </w:rPr>
      </w:pPr>
      <w:r w:rsidRPr="00950573">
        <w:rPr>
          <w:b/>
          <w:bCs/>
          <w:u w:val="single"/>
        </w:rPr>
        <w:t>For the Student</w:t>
      </w:r>
    </w:p>
    <w:p w14:paraId="38E5CEDA" w14:textId="77777777" w:rsidR="003C3ED1" w:rsidRPr="00950573" w:rsidRDefault="003C3ED1" w:rsidP="003C3ED1"/>
    <w:p w14:paraId="54CC4AF7" w14:textId="4D251649" w:rsidR="00020CB4" w:rsidRPr="00950573" w:rsidRDefault="00020CB4" w:rsidP="003C3ED1">
      <w:pPr>
        <w:rPr>
          <w:rFonts w:cs="Times New Roman"/>
        </w:rPr>
      </w:pPr>
      <w:r w:rsidRPr="00950573">
        <w:rPr>
          <w:rFonts w:cs="Times New Roman"/>
        </w:rPr>
        <w:t xml:space="preserve">Parent Representative </w:t>
      </w:r>
    </w:p>
    <w:p w14:paraId="090AE1D0" w14:textId="4EE4A8AE" w:rsidR="00522469" w:rsidRPr="00950573" w:rsidRDefault="00950573" w:rsidP="003C3ED1">
      <w:pPr>
        <w:rPr>
          <w:rFonts w:cs="Times New Roman"/>
        </w:rPr>
      </w:pPr>
      <w:r w:rsidRPr="00950573">
        <w:rPr>
          <w:rFonts w:cs="Times New Roman"/>
        </w:rPr>
        <w:t>Educational Director, Provider Agency</w:t>
      </w:r>
    </w:p>
    <w:p w14:paraId="4C991E13" w14:textId="1506EC78" w:rsidR="008203F3" w:rsidRPr="004049B3" w:rsidRDefault="008203F3" w:rsidP="003C3ED1">
      <w:pPr>
        <w:rPr>
          <w:color w:val="FF0000"/>
        </w:rPr>
      </w:pPr>
    </w:p>
    <w:p w14:paraId="6B4016EC" w14:textId="77777777" w:rsidR="003C3ED1" w:rsidRPr="004049B3" w:rsidRDefault="003C3ED1" w:rsidP="003C3ED1">
      <w:pPr>
        <w:rPr>
          <w:color w:val="FF0000"/>
        </w:rPr>
      </w:pPr>
    </w:p>
    <w:p w14:paraId="14BC441D" w14:textId="77777777" w:rsidR="003C3ED1" w:rsidRPr="00CE7FDC" w:rsidRDefault="003C3ED1" w:rsidP="003C3ED1">
      <w:pPr>
        <w:rPr>
          <w:b/>
          <w:bCs/>
          <w:u w:val="single"/>
        </w:rPr>
      </w:pPr>
      <w:r w:rsidRPr="00CE7FDC">
        <w:rPr>
          <w:b/>
          <w:bCs/>
          <w:u w:val="single"/>
        </w:rPr>
        <w:t>For the New York City Department of Education</w:t>
      </w:r>
    </w:p>
    <w:p w14:paraId="158DC110" w14:textId="77777777" w:rsidR="003C3ED1" w:rsidRPr="00CE7FDC" w:rsidRDefault="003C3ED1" w:rsidP="003C3ED1">
      <w:pPr>
        <w:rPr>
          <w:b/>
          <w:bCs/>
          <w:u w:val="single"/>
        </w:rPr>
      </w:pPr>
    </w:p>
    <w:p w14:paraId="7A3442F3" w14:textId="72ED045B" w:rsidR="003C3ED1" w:rsidRPr="00CE7FDC" w:rsidRDefault="00EF78A1" w:rsidP="003C3ED1">
      <w:r w:rsidRPr="00CE7FDC">
        <w:t>District Representative</w:t>
      </w:r>
    </w:p>
    <w:p w14:paraId="549E0B22" w14:textId="4E1E0951" w:rsidR="00D44086" w:rsidRPr="004049B3" w:rsidRDefault="00D44086" w:rsidP="00D44086">
      <w:pPr>
        <w:rPr>
          <w:color w:val="FF0000"/>
          <w:sz w:val="25"/>
          <w:szCs w:val="25"/>
        </w:rPr>
      </w:pPr>
    </w:p>
    <w:p w14:paraId="6F2B5961" w14:textId="64F9E040" w:rsidR="005B0134" w:rsidRPr="004049B3" w:rsidRDefault="005B0134" w:rsidP="00D44086">
      <w:pPr>
        <w:rPr>
          <w:color w:val="FF0000"/>
          <w:sz w:val="25"/>
          <w:szCs w:val="25"/>
        </w:rPr>
      </w:pPr>
    </w:p>
    <w:p w14:paraId="71584CD4" w14:textId="63884A23" w:rsidR="00D44086" w:rsidRPr="004049B3" w:rsidRDefault="00D44086" w:rsidP="00D44086">
      <w:pPr>
        <w:rPr>
          <w:color w:val="FF0000"/>
          <w:sz w:val="25"/>
          <w:szCs w:val="25"/>
        </w:rPr>
      </w:pPr>
    </w:p>
    <w:p w14:paraId="7E911AEB" w14:textId="1FC2B364" w:rsidR="00D44086" w:rsidRPr="004049B3" w:rsidRDefault="00D44086" w:rsidP="00D44086">
      <w:pPr>
        <w:rPr>
          <w:color w:val="FF0000"/>
          <w:sz w:val="25"/>
          <w:szCs w:val="25"/>
        </w:rPr>
      </w:pPr>
    </w:p>
    <w:p w14:paraId="0B68CD49" w14:textId="4D55EAEE" w:rsidR="00D44086" w:rsidRPr="004049B3" w:rsidRDefault="00D44086" w:rsidP="00D44086">
      <w:pPr>
        <w:rPr>
          <w:color w:val="FF0000"/>
          <w:sz w:val="25"/>
          <w:szCs w:val="25"/>
        </w:rPr>
      </w:pPr>
    </w:p>
    <w:p w14:paraId="3E3841D1" w14:textId="0F41BA75" w:rsidR="00D44086" w:rsidRPr="004049B3" w:rsidRDefault="00D44086" w:rsidP="00D44086">
      <w:pPr>
        <w:rPr>
          <w:color w:val="FF0000"/>
          <w:sz w:val="25"/>
          <w:szCs w:val="25"/>
        </w:rPr>
      </w:pPr>
    </w:p>
    <w:p w14:paraId="2C9AFD0B" w14:textId="5948407F" w:rsidR="00D44086" w:rsidRPr="004049B3" w:rsidRDefault="00D44086" w:rsidP="00D44086">
      <w:pPr>
        <w:rPr>
          <w:color w:val="FF0000"/>
          <w:sz w:val="25"/>
          <w:szCs w:val="25"/>
        </w:rPr>
      </w:pPr>
    </w:p>
    <w:p w14:paraId="43DF3755" w14:textId="655A80A2" w:rsidR="0050554D" w:rsidRPr="004049B3" w:rsidRDefault="0050554D" w:rsidP="00D44086">
      <w:pPr>
        <w:rPr>
          <w:color w:val="FF0000"/>
          <w:sz w:val="25"/>
          <w:szCs w:val="25"/>
        </w:rPr>
      </w:pPr>
    </w:p>
    <w:p w14:paraId="5C05AF00" w14:textId="61177F45" w:rsidR="0050554D" w:rsidRPr="004049B3" w:rsidRDefault="0050554D" w:rsidP="00D44086">
      <w:pPr>
        <w:rPr>
          <w:color w:val="FF0000"/>
          <w:sz w:val="25"/>
          <w:szCs w:val="25"/>
        </w:rPr>
      </w:pPr>
    </w:p>
    <w:p w14:paraId="5D7A65F6" w14:textId="3BA67DC9" w:rsidR="0050554D" w:rsidRPr="004049B3" w:rsidRDefault="0050554D" w:rsidP="00D44086">
      <w:pPr>
        <w:rPr>
          <w:color w:val="FF0000"/>
          <w:sz w:val="25"/>
          <w:szCs w:val="25"/>
        </w:rPr>
      </w:pPr>
    </w:p>
    <w:p w14:paraId="7D3465AD" w14:textId="5E2D9FFF" w:rsidR="0050554D" w:rsidRPr="004049B3" w:rsidRDefault="0050554D" w:rsidP="00D44086">
      <w:pPr>
        <w:rPr>
          <w:color w:val="FF0000"/>
          <w:sz w:val="25"/>
          <w:szCs w:val="25"/>
        </w:rPr>
      </w:pPr>
    </w:p>
    <w:p w14:paraId="175FE71C" w14:textId="5531DF1C" w:rsidR="0050554D" w:rsidRPr="004049B3" w:rsidRDefault="0050554D" w:rsidP="00D44086">
      <w:pPr>
        <w:rPr>
          <w:color w:val="FF0000"/>
          <w:sz w:val="25"/>
          <w:szCs w:val="25"/>
        </w:rPr>
      </w:pPr>
    </w:p>
    <w:p w14:paraId="75490904" w14:textId="0DEBC21C" w:rsidR="0050554D" w:rsidRPr="004049B3" w:rsidRDefault="0050554D" w:rsidP="00D44086">
      <w:pPr>
        <w:rPr>
          <w:color w:val="FF0000"/>
          <w:sz w:val="25"/>
          <w:szCs w:val="25"/>
        </w:rPr>
      </w:pPr>
    </w:p>
    <w:p w14:paraId="28827621" w14:textId="2FFA8E2E" w:rsidR="0050554D" w:rsidRPr="004049B3" w:rsidRDefault="0050554D" w:rsidP="00D44086">
      <w:pPr>
        <w:rPr>
          <w:color w:val="FF0000"/>
          <w:sz w:val="25"/>
          <w:szCs w:val="25"/>
        </w:rPr>
      </w:pPr>
    </w:p>
    <w:p w14:paraId="3A2D4B69" w14:textId="76B2C6AB" w:rsidR="0050554D" w:rsidRPr="004049B3" w:rsidRDefault="0050554D" w:rsidP="00D44086">
      <w:pPr>
        <w:rPr>
          <w:color w:val="FF0000"/>
          <w:sz w:val="25"/>
          <w:szCs w:val="25"/>
        </w:rPr>
      </w:pPr>
    </w:p>
    <w:p w14:paraId="437C91EC" w14:textId="1CF6D1B2" w:rsidR="0050554D" w:rsidRPr="004049B3" w:rsidRDefault="0050554D" w:rsidP="00D44086">
      <w:pPr>
        <w:rPr>
          <w:color w:val="FF0000"/>
          <w:sz w:val="25"/>
          <w:szCs w:val="25"/>
        </w:rPr>
      </w:pPr>
    </w:p>
    <w:p w14:paraId="43D74DAA" w14:textId="35CB4ED8" w:rsidR="0050554D" w:rsidRPr="004049B3" w:rsidRDefault="0050554D" w:rsidP="00D44086">
      <w:pPr>
        <w:rPr>
          <w:color w:val="FF0000"/>
          <w:sz w:val="25"/>
          <w:szCs w:val="25"/>
        </w:rPr>
      </w:pPr>
    </w:p>
    <w:p w14:paraId="539C9760" w14:textId="39680EB9" w:rsidR="0050554D" w:rsidRDefault="0050554D" w:rsidP="00D44086">
      <w:pPr>
        <w:rPr>
          <w:color w:val="FF0000"/>
          <w:sz w:val="25"/>
          <w:szCs w:val="25"/>
        </w:rPr>
      </w:pPr>
    </w:p>
    <w:p w14:paraId="4FC53725" w14:textId="77777777" w:rsidR="00964164" w:rsidRDefault="00964164" w:rsidP="00D44086">
      <w:pPr>
        <w:rPr>
          <w:color w:val="FF0000"/>
          <w:sz w:val="25"/>
          <w:szCs w:val="25"/>
        </w:rPr>
      </w:pPr>
    </w:p>
    <w:p w14:paraId="71EF480A" w14:textId="77777777" w:rsidR="00964164" w:rsidRDefault="00964164" w:rsidP="00D44086">
      <w:pPr>
        <w:rPr>
          <w:color w:val="FF0000"/>
          <w:sz w:val="25"/>
          <w:szCs w:val="25"/>
        </w:rPr>
      </w:pPr>
    </w:p>
    <w:p w14:paraId="68C04C2D" w14:textId="77777777" w:rsidR="00964164" w:rsidRDefault="00964164" w:rsidP="00D44086">
      <w:pPr>
        <w:rPr>
          <w:color w:val="FF0000"/>
          <w:sz w:val="25"/>
          <w:szCs w:val="25"/>
        </w:rPr>
      </w:pPr>
    </w:p>
    <w:p w14:paraId="4A51C821" w14:textId="77777777" w:rsidR="00964164" w:rsidRDefault="00964164" w:rsidP="00D44086">
      <w:pPr>
        <w:rPr>
          <w:color w:val="FF0000"/>
          <w:sz w:val="25"/>
          <w:szCs w:val="25"/>
        </w:rPr>
      </w:pPr>
    </w:p>
    <w:p w14:paraId="05C3534A" w14:textId="77777777" w:rsidR="00964164" w:rsidRDefault="00964164" w:rsidP="00D44086">
      <w:pPr>
        <w:rPr>
          <w:color w:val="FF0000"/>
          <w:sz w:val="25"/>
          <w:szCs w:val="25"/>
        </w:rPr>
      </w:pPr>
    </w:p>
    <w:p w14:paraId="21F3CCE2" w14:textId="77777777" w:rsidR="00964164" w:rsidRDefault="00964164" w:rsidP="00D44086">
      <w:pPr>
        <w:rPr>
          <w:color w:val="FF0000"/>
          <w:sz w:val="25"/>
          <w:szCs w:val="25"/>
        </w:rPr>
      </w:pPr>
    </w:p>
    <w:p w14:paraId="3E643AE5" w14:textId="77777777" w:rsidR="00964164" w:rsidRDefault="00964164" w:rsidP="00D44086">
      <w:pPr>
        <w:rPr>
          <w:color w:val="FF0000"/>
          <w:sz w:val="25"/>
          <w:szCs w:val="25"/>
        </w:rPr>
      </w:pPr>
    </w:p>
    <w:p w14:paraId="3D414BA4" w14:textId="77777777" w:rsidR="00964164" w:rsidRDefault="00964164" w:rsidP="00D44086">
      <w:pPr>
        <w:rPr>
          <w:color w:val="FF0000"/>
          <w:sz w:val="25"/>
          <w:szCs w:val="25"/>
        </w:rPr>
      </w:pPr>
    </w:p>
    <w:p w14:paraId="43F15FCC" w14:textId="77777777" w:rsidR="00964164" w:rsidRDefault="00964164" w:rsidP="00D44086">
      <w:pPr>
        <w:rPr>
          <w:color w:val="FF0000"/>
          <w:sz w:val="25"/>
          <w:szCs w:val="25"/>
        </w:rPr>
      </w:pPr>
    </w:p>
    <w:p w14:paraId="59F84102" w14:textId="77777777" w:rsidR="00964164" w:rsidRPr="004049B3" w:rsidRDefault="00964164" w:rsidP="00D44086">
      <w:pPr>
        <w:rPr>
          <w:color w:val="FF0000"/>
          <w:sz w:val="25"/>
          <w:szCs w:val="25"/>
        </w:rPr>
      </w:pPr>
    </w:p>
    <w:p w14:paraId="2550E991" w14:textId="77777777" w:rsidR="000F05CA" w:rsidRPr="004049B3" w:rsidRDefault="000F05CA" w:rsidP="20FC5881">
      <w:pPr>
        <w:rPr>
          <w:color w:val="FF0000"/>
        </w:rPr>
      </w:pPr>
    </w:p>
    <w:p w14:paraId="0B64DED9" w14:textId="77777777" w:rsidR="00D15DEC" w:rsidRPr="00964164" w:rsidRDefault="00D15DEC" w:rsidP="00D15DEC">
      <w:pPr>
        <w:keepNext/>
        <w:keepLines/>
        <w:spacing w:before="240"/>
        <w:outlineLvl w:val="0"/>
        <w:rPr>
          <w:rFonts w:eastAsiaTheme="majorEastAsia" w:cs="Times New Roman"/>
          <w:b/>
          <w:szCs w:val="24"/>
          <w:u w:val="single"/>
        </w:rPr>
      </w:pPr>
      <w:r w:rsidRPr="00964164">
        <w:rPr>
          <w:rFonts w:eastAsiaTheme="majorEastAsia" w:cs="Times New Roman"/>
          <w:b/>
          <w:szCs w:val="24"/>
          <w:u w:val="single"/>
        </w:rPr>
        <w:lastRenderedPageBreak/>
        <w:t>BACKGROUND</w:t>
      </w:r>
    </w:p>
    <w:p w14:paraId="37C5E102" w14:textId="77777777" w:rsidR="00D15DEC" w:rsidRPr="00964164" w:rsidRDefault="00D15DEC" w:rsidP="00D15DEC"/>
    <w:p w14:paraId="3D55C9B7" w14:textId="1CBAB31E" w:rsidR="00D15DEC" w:rsidRPr="004049B3" w:rsidRDefault="00D15DEC" w:rsidP="00364EA6">
      <w:pPr>
        <w:spacing w:line="240" w:lineRule="auto"/>
        <w:jc w:val="both"/>
        <w:rPr>
          <w:color w:val="FF0000"/>
          <w:szCs w:val="24"/>
        </w:rPr>
      </w:pPr>
      <w:r w:rsidRPr="00964164">
        <w:rPr>
          <w:szCs w:val="24"/>
        </w:rPr>
        <w:tab/>
        <w:t xml:space="preserve">The Parent, through counsel, filed a Due Process Complaint (DPC) on </w:t>
      </w:r>
      <w:r w:rsidR="00964164" w:rsidRPr="00964164">
        <w:rPr>
          <w:szCs w:val="24"/>
        </w:rPr>
        <w:t>June 4, 2024.</w:t>
      </w:r>
      <w:r w:rsidRPr="00964164">
        <w:rPr>
          <w:szCs w:val="24"/>
        </w:rPr>
        <w:t xml:space="preserve"> In the DPC, the Parent alleges that the New York City Department of Education (DOE or District) failed </w:t>
      </w:r>
      <w:r w:rsidRPr="009C5789">
        <w:rPr>
          <w:szCs w:val="24"/>
        </w:rPr>
        <w:t xml:space="preserve">to implement recommended special education services for the Student for the 2023-2024 school year (Parent Exhibit (P. Ex.) A). Parent is seeking an order directing the District to directly fund and/or reimburse the cost </w:t>
      </w:r>
      <w:r w:rsidR="00EF12C6" w:rsidRPr="009C5789">
        <w:rPr>
          <w:szCs w:val="24"/>
        </w:rPr>
        <w:t xml:space="preserve">of private Special Education Teacher Support Services (SETSS) provided to the Student for the 2023-2024 school year (P. Ex. A, </w:t>
      </w:r>
      <w:r w:rsidR="00EF12C6" w:rsidRPr="009C5789">
        <w:rPr>
          <w:i/>
          <w:iCs/>
          <w:szCs w:val="24"/>
        </w:rPr>
        <w:t>see also</w:t>
      </w:r>
      <w:r w:rsidR="00EF12C6" w:rsidRPr="009C5789">
        <w:rPr>
          <w:szCs w:val="24"/>
        </w:rPr>
        <w:t xml:space="preserve"> Transcript of Due Process Hearing 11/</w:t>
      </w:r>
      <w:r w:rsidR="009C5789" w:rsidRPr="009C5789">
        <w:rPr>
          <w:szCs w:val="24"/>
        </w:rPr>
        <w:t>15</w:t>
      </w:r>
      <w:r w:rsidR="00EF12C6" w:rsidRPr="009C5789">
        <w:rPr>
          <w:szCs w:val="24"/>
        </w:rPr>
        <w:t>/2024</w:t>
      </w:r>
      <w:r w:rsidR="009C5789" w:rsidRPr="009C5789">
        <w:rPr>
          <w:rStyle w:val="FootnoteReference"/>
          <w:szCs w:val="24"/>
        </w:rPr>
        <w:footnoteReference w:id="2"/>
      </w:r>
      <w:r w:rsidR="00EF12C6" w:rsidRPr="009C5789">
        <w:rPr>
          <w:szCs w:val="24"/>
        </w:rPr>
        <w:t>).</w:t>
      </w:r>
      <w:r w:rsidR="009C5789">
        <w:rPr>
          <w:szCs w:val="24"/>
        </w:rPr>
        <w:t xml:space="preserve"> The Parent is also seeking a bank of compensatory </w:t>
      </w:r>
      <w:r w:rsidR="000F1668">
        <w:rPr>
          <w:szCs w:val="24"/>
        </w:rPr>
        <w:t xml:space="preserve">hours for </w:t>
      </w:r>
      <w:r w:rsidR="000F1668" w:rsidRPr="000F1668">
        <w:rPr>
          <w:szCs w:val="24"/>
        </w:rPr>
        <w:t>Occupational Therapy</w:t>
      </w:r>
      <w:r w:rsidR="003A42F7">
        <w:rPr>
          <w:szCs w:val="24"/>
        </w:rPr>
        <w:t xml:space="preserve"> (OT)</w:t>
      </w:r>
      <w:r w:rsidR="000F1668" w:rsidRPr="000F1668">
        <w:rPr>
          <w:szCs w:val="24"/>
        </w:rPr>
        <w:t xml:space="preserve"> services which the Parent a</w:t>
      </w:r>
      <w:r w:rsidR="003A42F7">
        <w:rPr>
          <w:szCs w:val="24"/>
        </w:rPr>
        <w:t>lleges</w:t>
      </w:r>
      <w:r w:rsidR="000F1668" w:rsidRPr="000F1668">
        <w:rPr>
          <w:szCs w:val="24"/>
        </w:rPr>
        <w:t xml:space="preserve"> were never implemented for the Student (Id.).  </w:t>
      </w:r>
      <w:r w:rsidRPr="000F1668">
        <w:t xml:space="preserve">As more fully discussed below, I find that the DOE failed to implement the Student’s recommended services, thereby denying the Student a free appropriate public education (FAPE) on an equitable basis for </w:t>
      </w:r>
      <w:r w:rsidR="003C15DE" w:rsidRPr="000F1668">
        <w:t>the</w:t>
      </w:r>
      <w:r w:rsidRPr="000F1668">
        <w:t xml:space="preserve"> 2023-2024 school year, and that </w:t>
      </w:r>
      <w:r w:rsidR="0043394C" w:rsidRPr="000F1668">
        <w:t>the</w:t>
      </w:r>
      <w:r w:rsidRPr="000F1668">
        <w:t xml:space="preserve"> relief Parent seeks is appropriate.</w:t>
      </w:r>
    </w:p>
    <w:p w14:paraId="1F284FF8" w14:textId="77777777" w:rsidR="00D15DEC" w:rsidRPr="00D90D18" w:rsidRDefault="00D15DEC" w:rsidP="00D15DEC">
      <w:pPr>
        <w:keepNext/>
        <w:keepLines/>
        <w:spacing w:before="240"/>
        <w:outlineLvl w:val="0"/>
        <w:rPr>
          <w:rFonts w:eastAsiaTheme="majorEastAsia" w:cs="Times New Roman"/>
          <w:b/>
          <w:szCs w:val="24"/>
          <w:u w:val="single"/>
        </w:rPr>
      </w:pPr>
      <w:r w:rsidRPr="00D90D18">
        <w:rPr>
          <w:rFonts w:eastAsiaTheme="majorEastAsia" w:cs="Times New Roman"/>
          <w:b/>
          <w:szCs w:val="24"/>
          <w:u w:val="single"/>
        </w:rPr>
        <w:t>PROCEDURAL HISTORY</w:t>
      </w:r>
    </w:p>
    <w:p w14:paraId="68909271" w14:textId="77777777" w:rsidR="00D15DEC" w:rsidRPr="00D90D18" w:rsidRDefault="00D15DEC" w:rsidP="00D15DEC">
      <w:pPr>
        <w:rPr>
          <w:b/>
          <w:bCs/>
          <w:u w:val="single"/>
        </w:rPr>
      </w:pPr>
    </w:p>
    <w:p w14:paraId="2FEE86B8" w14:textId="225A253C" w:rsidR="00413EE5" w:rsidRDefault="00D15DEC" w:rsidP="005F5091">
      <w:pPr>
        <w:spacing w:line="240" w:lineRule="auto"/>
        <w:jc w:val="both"/>
      </w:pPr>
      <w:r w:rsidRPr="00D90D18">
        <w:tab/>
      </w:r>
      <w:r w:rsidR="00B62B24" w:rsidRPr="00D90D18">
        <w:t xml:space="preserve">I was appointed as Impartial Hearing Officer (IHO) on </w:t>
      </w:r>
      <w:r w:rsidR="00D90D18" w:rsidRPr="00D90D18">
        <w:t>June 6</w:t>
      </w:r>
      <w:r w:rsidR="00B62B24" w:rsidRPr="00D90D18">
        <w:t>, 2024. This case was</w:t>
      </w:r>
      <w:r w:rsidR="00D90D18" w:rsidRPr="00D90D18">
        <w:t xml:space="preserve"> originally scheduled</w:t>
      </w:r>
      <w:r w:rsidR="00B62B24" w:rsidRPr="00D90D18">
        <w:t xml:space="preserve"> </w:t>
      </w:r>
      <w:r w:rsidR="005F5091">
        <w:t xml:space="preserve">to be heard </w:t>
      </w:r>
      <w:r w:rsidR="00B62B24" w:rsidRPr="00D90D18">
        <w:t>as part of an omnibus docket</w:t>
      </w:r>
      <w:r w:rsidR="00814338" w:rsidRPr="00D90D18">
        <w:t xml:space="preserve"> and an off-the-record status conference was held on </w:t>
      </w:r>
      <w:r w:rsidR="00846A5E" w:rsidRPr="00D90D18">
        <w:t xml:space="preserve">June 20, 2024. </w:t>
      </w:r>
      <w:r w:rsidR="00087BA4">
        <w:t xml:space="preserve"> On September 19, 2024, </w:t>
      </w:r>
      <w:r w:rsidR="005B40E0" w:rsidRPr="005D1A08">
        <w:t>the District submitted a motion to dismiss (MTD) based on a lack of jurisdiction.</w:t>
      </w:r>
      <w:r w:rsidR="005D1A08" w:rsidRPr="005D1A08">
        <w:t xml:space="preserve"> A due process hearing was held on November 15, 2024. At the hearing,</w:t>
      </w:r>
      <w:r w:rsidR="000B68E1">
        <w:t xml:space="preserve"> I entered the MTD into the record as an IHO Exhibit and</w:t>
      </w:r>
      <w:r w:rsidR="005D1A08" w:rsidRPr="005D1A08">
        <w:t xml:space="preserve"> I allowed the Parent Representative to respond to the MT</w:t>
      </w:r>
      <w:r w:rsidR="000B68E1">
        <w:t>D. I</w:t>
      </w:r>
      <w:r w:rsidR="005D1A08" w:rsidRPr="005D1A08">
        <w:t xml:space="preserve"> a</w:t>
      </w:r>
      <w:r w:rsidR="000B68E1">
        <w:t>lso</w:t>
      </w:r>
      <w:r w:rsidR="005D1A08" w:rsidRPr="005D1A08">
        <w:t xml:space="preserve"> allowed the District Representative to supplement the District’s position (</w:t>
      </w:r>
      <w:r w:rsidR="005D1A08" w:rsidRPr="005D1A08">
        <w:rPr>
          <w:i/>
          <w:iCs/>
        </w:rPr>
        <w:t xml:space="preserve">see </w:t>
      </w:r>
      <w:r w:rsidR="005D1A08" w:rsidRPr="005D1A08">
        <w:t xml:space="preserve">Transcript of Due Process Hearing 11/15/2024). </w:t>
      </w:r>
      <w:r w:rsidR="005D1A08">
        <w:t xml:space="preserve">I reserved decision on the MTD. </w:t>
      </w:r>
    </w:p>
    <w:p w14:paraId="4DA181C9" w14:textId="77777777" w:rsidR="005D1A08" w:rsidRPr="005D1A08" w:rsidRDefault="005D1A08" w:rsidP="005D1A08">
      <w:pPr>
        <w:spacing w:line="240" w:lineRule="auto"/>
        <w:jc w:val="both"/>
      </w:pPr>
    </w:p>
    <w:p w14:paraId="492F1FD5" w14:textId="582749B2" w:rsidR="00E74187" w:rsidRPr="00E40D3A" w:rsidRDefault="008D074C" w:rsidP="00E40D3A">
      <w:pPr>
        <w:spacing w:line="240" w:lineRule="auto"/>
        <w:ind w:firstLine="720"/>
        <w:jc w:val="both"/>
      </w:pPr>
      <w:r w:rsidRPr="005D1A08">
        <w:t>B</w:t>
      </w:r>
      <w:r w:rsidR="00E74187" w:rsidRPr="005D1A08">
        <w:t>oth parties offered exhibits into the record which were admitted</w:t>
      </w:r>
      <w:r w:rsidRPr="005D1A08">
        <w:t xml:space="preserve"> into evidence</w:t>
      </w:r>
      <w:r w:rsidR="00E74187" w:rsidRPr="005D1A08">
        <w:t xml:space="preserve">. A complete list of all exhibits entered into the record at hearing is attached here as Appendix A. </w:t>
      </w:r>
      <w:r w:rsidR="005D1A08">
        <w:t xml:space="preserve">The parties made opening statements after which the District rested. Parent’s evidence included the affidavit testimony of the </w:t>
      </w:r>
      <w:r w:rsidR="005D1A08" w:rsidRPr="00E40D3A">
        <w:t xml:space="preserve">Educational Director of the Provider Agency who was cross-examined by the District Representative (P. Ex. </w:t>
      </w:r>
      <w:r w:rsidR="00E40D3A" w:rsidRPr="00E40D3A">
        <w:t xml:space="preserve">G). </w:t>
      </w:r>
      <w:r w:rsidR="00307E4D" w:rsidRPr="00E40D3A">
        <w:rPr>
          <w:szCs w:val="24"/>
        </w:rPr>
        <w:t xml:space="preserve">Following cross-examination, the Parent rested, the </w:t>
      </w:r>
      <w:r w:rsidR="006C654A" w:rsidRPr="00E40D3A">
        <w:t>parties made closing statements</w:t>
      </w:r>
      <w:r w:rsidR="003D5DB8" w:rsidRPr="00E40D3A">
        <w:t>,</w:t>
      </w:r>
      <w:r w:rsidR="006C654A" w:rsidRPr="00E40D3A">
        <w:t xml:space="preserve"> and the hearing was concluded</w:t>
      </w:r>
      <w:r w:rsidR="00731184" w:rsidRPr="00E40D3A">
        <w:t xml:space="preserve">. </w:t>
      </w:r>
    </w:p>
    <w:p w14:paraId="07113595" w14:textId="77777777" w:rsidR="00E74187" w:rsidRPr="004049B3" w:rsidRDefault="00E74187" w:rsidP="00B62B24">
      <w:pPr>
        <w:spacing w:line="240" w:lineRule="auto"/>
        <w:jc w:val="both"/>
        <w:rPr>
          <w:color w:val="FF0000"/>
        </w:rPr>
      </w:pPr>
    </w:p>
    <w:p w14:paraId="50488A5D" w14:textId="77777777" w:rsidR="00D15DEC" w:rsidRPr="005C0951" w:rsidRDefault="00D15DEC" w:rsidP="00D15DEC">
      <w:pPr>
        <w:keepNext/>
        <w:keepLines/>
        <w:spacing w:before="240"/>
        <w:outlineLvl w:val="0"/>
        <w:rPr>
          <w:rFonts w:eastAsiaTheme="majorEastAsia" w:cs="Times New Roman"/>
          <w:b/>
          <w:szCs w:val="24"/>
          <w:u w:val="single"/>
        </w:rPr>
      </w:pPr>
      <w:r w:rsidRPr="005C0951">
        <w:rPr>
          <w:rFonts w:eastAsiaTheme="majorEastAsia" w:cs="Times New Roman"/>
          <w:b/>
          <w:szCs w:val="24"/>
          <w:u w:val="single"/>
        </w:rPr>
        <w:t>FINDINGS OF FACT AND DECISION</w:t>
      </w:r>
    </w:p>
    <w:p w14:paraId="09F0FA77" w14:textId="77777777" w:rsidR="00D15DEC" w:rsidRPr="005C0951" w:rsidRDefault="00D15DEC" w:rsidP="00722FB3">
      <w:pPr>
        <w:spacing w:line="240" w:lineRule="auto"/>
      </w:pPr>
    </w:p>
    <w:p w14:paraId="7CC55130" w14:textId="77777777" w:rsidR="00D15DEC" w:rsidRPr="005C0951" w:rsidRDefault="00D15DEC" w:rsidP="00364EA6">
      <w:pPr>
        <w:spacing w:line="240" w:lineRule="auto"/>
        <w:ind w:firstLine="720"/>
        <w:jc w:val="both"/>
        <w:rPr>
          <w:rFonts w:cs="Times New Roman"/>
        </w:rPr>
      </w:pPr>
      <w:r w:rsidRPr="005C0951">
        <w:rPr>
          <w:rFonts w:cs="Times New Roman"/>
        </w:rPr>
        <w:t>After a full review of the record generated at hearing, I make the following findings of fact and determinations.</w:t>
      </w:r>
    </w:p>
    <w:p w14:paraId="38C893DA" w14:textId="77777777" w:rsidR="00D15DEC" w:rsidRPr="004049B3" w:rsidRDefault="00D15DEC" w:rsidP="00722FB3">
      <w:pPr>
        <w:autoSpaceDE w:val="0"/>
        <w:autoSpaceDN w:val="0"/>
        <w:adjustRightInd w:val="0"/>
        <w:spacing w:line="240" w:lineRule="auto"/>
        <w:ind w:firstLine="720"/>
        <w:jc w:val="both"/>
        <w:rPr>
          <w:rFonts w:cs="Times New Roman"/>
          <w:color w:val="FF0000"/>
        </w:rPr>
      </w:pPr>
    </w:p>
    <w:p w14:paraId="6190E27D" w14:textId="75F9E87E" w:rsidR="00725B0C" w:rsidRPr="007B397C" w:rsidRDefault="00D15DEC" w:rsidP="00364EA6">
      <w:pPr>
        <w:spacing w:line="240" w:lineRule="auto"/>
        <w:ind w:firstLine="720"/>
        <w:jc w:val="both"/>
      </w:pPr>
      <w:r w:rsidRPr="005C0951">
        <w:t xml:space="preserve">It is uncontested that the Student and Parent reside </w:t>
      </w:r>
      <w:r w:rsidRPr="00EB200F">
        <w:t xml:space="preserve">in New York City and the Student </w:t>
      </w:r>
      <w:r w:rsidRPr="007B397C">
        <w:t xml:space="preserve">attended a nonpublic school during the 2023-2024 school year. The Student is </w:t>
      </w:r>
      <w:r w:rsidR="00D878E2" w:rsidRPr="007B397C">
        <w:t>16</w:t>
      </w:r>
      <w:r w:rsidR="00387EBB" w:rsidRPr="007B397C">
        <w:t xml:space="preserve"> </w:t>
      </w:r>
      <w:r w:rsidRPr="007B397C">
        <w:t xml:space="preserve">years old and is classified as a student with </w:t>
      </w:r>
      <w:r w:rsidR="00B31938" w:rsidRPr="007B397C">
        <w:t xml:space="preserve">a </w:t>
      </w:r>
      <w:r w:rsidR="00343DF9" w:rsidRPr="007B397C">
        <w:t>Speech or Language Impairment</w:t>
      </w:r>
      <w:r w:rsidR="00387EBB" w:rsidRPr="007B397C">
        <w:t xml:space="preserve"> </w:t>
      </w:r>
      <w:r w:rsidRPr="007B397C">
        <w:t xml:space="preserve">(P. Ex. B-1). In </w:t>
      </w:r>
      <w:r w:rsidR="00EB200F" w:rsidRPr="007B397C">
        <w:t>June 2020</w:t>
      </w:r>
      <w:r w:rsidR="00343DF9" w:rsidRPr="007B397C">
        <w:t>,</w:t>
      </w:r>
      <w:r w:rsidRPr="007B397C">
        <w:t xml:space="preserve"> an Individualized Education Services Program (IESP) was developed for the Student, with a projected </w:t>
      </w:r>
      <w:r w:rsidRPr="007B397C">
        <w:lastRenderedPageBreak/>
        <w:t xml:space="preserve">implementation date of </w:t>
      </w:r>
      <w:r w:rsidR="00EB200F" w:rsidRPr="007B397C">
        <w:t>September 8, 2020</w:t>
      </w:r>
      <w:r w:rsidRPr="007B397C">
        <w:t xml:space="preserve"> (P. Ex. B-1).</w:t>
      </w:r>
      <w:r w:rsidR="008B5AA8" w:rsidRPr="007B397C">
        <w:rPr>
          <w:rStyle w:val="FootnoteReference"/>
        </w:rPr>
        <w:footnoteReference w:id="3"/>
      </w:r>
      <w:r w:rsidRPr="007B397C">
        <w:t xml:space="preserve"> That IESP recommended </w:t>
      </w:r>
      <w:r w:rsidR="00725B0C" w:rsidRPr="007B397C">
        <w:t>the following services (P. Ex. B-</w:t>
      </w:r>
      <w:r w:rsidR="007B397C" w:rsidRPr="007B397C">
        <w:t>8</w:t>
      </w:r>
      <w:r w:rsidR="00725B0C" w:rsidRPr="007B397C">
        <w:t xml:space="preserve">): </w:t>
      </w:r>
    </w:p>
    <w:p w14:paraId="250D21D3" w14:textId="77777777" w:rsidR="00530718" w:rsidRPr="004049B3" w:rsidRDefault="00530718" w:rsidP="00364EA6">
      <w:pPr>
        <w:spacing w:line="240" w:lineRule="auto"/>
        <w:ind w:firstLine="720"/>
        <w:jc w:val="both"/>
        <w:rPr>
          <w:color w:val="FF0000"/>
        </w:rPr>
      </w:pPr>
    </w:p>
    <w:p w14:paraId="2522462D" w14:textId="543D5C5C" w:rsidR="000C1006" w:rsidRPr="004049B3" w:rsidRDefault="007B397C" w:rsidP="007B397C">
      <w:pPr>
        <w:spacing w:line="240" w:lineRule="auto"/>
        <w:ind w:firstLine="720"/>
        <w:rPr>
          <w:color w:val="FF0000"/>
        </w:rPr>
      </w:pPr>
      <w:r>
        <w:rPr>
          <w:noProof/>
        </w:rPr>
        <w:drawing>
          <wp:inline distT="0" distB="0" distL="0" distR="0" wp14:anchorId="510D1C73" wp14:editId="0605C88F">
            <wp:extent cx="5080000" cy="1936479"/>
            <wp:effectExtent l="0" t="0" r="6350" b="6985"/>
            <wp:docPr id="19498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29262" name=""/>
                    <pic:cNvPicPr/>
                  </pic:nvPicPr>
                  <pic:blipFill>
                    <a:blip r:embed="rId11"/>
                    <a:stretch>
                      <a:fillRect/>
                    </a:stretch>
                  </pic:blipFill>
                  <pic:spPr>
                    <a:xfrm>
                      <a:off x="0" y="0"/>
                      <a:ext cx="5086565" cy="1938981"/>
                    </a:xfrm>
                    <a:prstGeom prst="rect">
                      <a:avLst/>
                    </a:prstGeom>
                  </pic:spPr>
                </pic:pic>
              </a:graphicData>
            </a:graphic>
          </wp:inline>
        </w:drawing>
      </w:r>
    </w:p>
    <w:p w14:paraId="5984AB2A" w14:textId="26D2A71A" w:rsidR="00725B0C" w:rsidRPr="004049B3" w:rsidRDefault="00725B0C" w:rsidP="00934EAD">
      <w:pPr>
        <w:spacing w:line="240" w:lineRule="auto"/>
        <w:ind w:firstLine="720"/>
        <w:jc w:val="both"/>
        <w:rPr>
          <w:color w:val="FF0000"/>
        </w:rPr>
      </w:pPr>
    </w:p>
    <w:p w14:paraId="5D65073E" w14:textId="77777777" w:rsidR="00144B31" w:rsidRPr="004049B3" w:rsidRDefault="00144B31" w:rsidP="000C41DD">
      <w:pPr>
        <w:spacing w:line="240" w:lineRule="auto"/>
        <w:jc w:val="both"/>
        <w:rPr>
          <w:color w:val="FF0000"/>
        </w:rPr>
      </w:pPr>
    </w:p>
    <w:p w14:paraId="1179706C" w14:textId="21EB862F" w:rsidR="00405739" w:rsidRPr="00BB34C4" w:rsidRDefault="00144B31" w:rsidP="00BB34C4">
      <w:pPr>
        <w:spacing w:line="240" w:lineRule="auto"/>
        <w:ind w:firstLine="720"/>
        <w:jc w:val="both"/>
      </w:pPr>
      <w:r w:rsidRPr="000C41DD">
        <w:t xml:space="preserve">In </w:t>
      </w:r>
      <w:r w:rsidR="000C41DD" w:rsidRPr="000C41DD">
        <w:t>August 2023</w:t>
      </w:r>
      <w:r w:rsidRPr="000C41DD">
        <w:t xml:space="preserve">, the Parent signed a contract with </w:t>
      </w:r>
      <w:r w:rsidR="000C41DD" w:rsidRPr="000C41DD">
        <w:t xml:space="preserve">the </w:t>
      </w:r>
      <w:r w:rsidRPr="000C41DD">
        <w:t xml:space="preserve">Provider </w:t>
      </w:r>
      <w:r w:rsidR="000C41DD" w:rsidRPr="000C41DD">
        <w:t>Agency</w:t>
      </w:r>
      <w:r w:rsidRPr="000C41DD">
        <w:t xml:space="preserve"> for the provision of</w:t>
      </w:r>
      <w:r w:rsidR="001F293D" w:rsidRPr="000C41DD">
        <w:t xml:space="preserve"> services</w:t>
      </w:r>
      <w:r w:rsidRPr="000C41DD">
        <w:t xml:space="preserve"> to the Student for the 2023-2024 school year (P. Ex. </w:t>
      </w:r>
      <w:r w:rsidR="000C41DD" w:rsidRPr="000C41DD">
        <w:t>D</w:t>
      </w:r>
      <w:r w:rsidRPr="000C41DD">
        <w:t xml:space="preserve">). </w:t>
      </w:r>
      <w:r w:rsidR="00287CCE">
        <w:t xml:space="preserve">The record shows that the Provider Agency charges $195.00 per hour for SETSS and began administering services to the Student </w:t>
      </w:r>
      <w:r w:rsidR="00BB34C4">
        <w:t xml:space="preserve">at the beginning of the 2023-2024 </w:t>
      </w:r>
      <w:r w:rsidR="0078338E">
        <w:t xml:space="preserve">10-month </w:t>
      </w:r>
      <w:r w:rsidR="00BB34C4">
        <w:t xml:space="preserve">school year (P. Ex. D, </w:t>
      </w:r>
      <w:r w:rsidR="00BB34C4" w:rsidRPr="00BB34C4">
        <w:t>see Transcript of Due Process Hearing 11/15/2024).</w:t>
      </w:r>
      <w:r w:rsidR="00BB34C4">
        <w:t xml:space="preserve"> </w:t>
      </w:r>
    </w:p>
    <w:p w14:paraId="49FCCA8B" w14:textId="77777777" w:rsidR="00B85C80" w:rsidRPr="004049B3" w:rsidRDefault="00B85C80" w:rsidP="00633C54">
      <w:pPr>
        <w:spacing w:line="240" w:lineRule="auto"/>
        <w:jc w:val="both"/>
        <w:rPr>
          <w:color w:val="FF0000"/>
        </w:rPr>
      </w:pPr>
    </w:p>
    <w:p w14:paraId="22A22792" w14:textId="2BD3A002" w:rsidR="00411D1F" w:rsidRPr="00BB4B5C" w:rsidRDefault="00411D1F" w:rsidP="00411D1F">
      <w:pPr>
        <w:keepNext/>
        <w:keepLines/>
        <w:spacing w:before="40"/>
        <w:outlineLvl w:val="1"/>
        <w:rPr>
          <w:rFonts w:eastAsiaTheme="majorEastAsia" w:cs="Times New Roman"/>
          <w:b/>
          <w:bCs/>
          <w:szCs w:val="24"/>
        </w:rPr>
      </w:pPr>
      <w:r w:rsidRPr="00BB4B5C">
        <w:rPr>
          <w:rFonts w:eastAsiaTheme="majorEastAsia" w:cs="Times New Roman"/>
          <w:b/>
          <w:bCs/>
          <w:szCs w:val="24"/>
        </w:rPr>
        <w:t>I. Motion to Dismiss</w:t>
      </w:r>
    </w:p>
    <w:p w14:paraId="41D4CE93" w14:textId="77777777" w:rsidR="00411D1F" w:rsidRPr="004049B3" w:rsidRDefault="00411D1F" w:rsidP="00411D1F">
      <w:pPr>
        <w:rPr>
          <w:color w:val="FF0000"/>
        </w:rPr>
      </w:pPr>
    </w:p>
    <w:p w14:paraId="32EF32A9" w14:textId="3ECB509E" w:rsidR="00BB4B5C" w:rsidRPr="0058091F" w:rsidRDefault="00BB4B5C" w:rsidP="00BB4B5C">
      <w:pPr>
        <w:spacing w:line="240" w:lineRule="auto"/>
        <w:ind w:firstLine="720"/>
        <w:jc w:val="both"/>
        <w:rPr>
          <w:szCs w:val="24"/>
        </w:rPr>
      </w:pPr>
      <w:r w:rsidRPr="0058091F">
        <w:rPr>
          <w:szCs w:val="24"/>
        </w:rPr>
        <w:t xml:space="preserve">In the District’s motion to dismiss, the DOE asserted that the IHO does not have subject matter jurisdiction over the claims asserted in the DPC and argued that therefore the claims should be dismissed (IHO Ex. I-2). Specifically, the MTD argues that New York Education Law </w:t>
      </w:r>
      <w:r w:rsidRPr="0058091F">
        <w:rPr>
          <w:rFonts w:cs="Times New Roman"/>
          <w:szCs w:val="24"/>
        </w:rPr>
        <w:t>§</w:t>
      </w:r>
      <w:r w:rsidRPr="0058091F">
        <w:rPr>
          <w:szCs w:val="24"/>
        </w:rPr>
        <w:t xml:space="preserve">3602-c does not grant the Parent the right to a file a DPC to request an enhanced rate for services (IHO Ex. I-3). The District argues that this right has never existed (Id.). </w:t>
      </w:r>
    </w:p>
    <w:p w14:paraId="1D775AE8" w14:textId="77777777" w:rsidR="00BB4B5C" w:rsidRPr="00BB4B5C" w:rsidRDefault="00BB4B5C" w:rsidP="00BB4B5C">
      <w:pPr>
        <w:spacing w:line="240" w:lineRule="auto"/>
        <w:jc w:val="both"/>
        <w:rPr>
          <w:color w:val="FF0000"/>
          <w:szCs w:val="24"/>
        </w:rPr>
      </w:pPr>
    </w:p>
    <w:p w14:paraId="06E74423" w14:textId="0EFF4374" w:rsidR="00BB4B5C" w:rsidRPr="00BB4B5C" w:rsidRDefault="00BB4B5C" w:rsidP="00BB4B5C">
      <w:pPr>
        <w:autoSpaceDE w:val="0"/>
        <w:autoSpaceDN w:val="0"/>
        <w:spacing w:line="240" w:lineRule="auto"/>
        <w:ind w:firstLine="720"/>
        <w:jc w:val="both"/>
        <w:rPr>
          <w:rFonts w:cs="Times New Roman"/>
          <w:i/>
          <w:iCs/>
          <w:color w:val="FF0000"/>
          <w:szCs w:val="24"/>
        </w:rPr>
      </w:pPr>
      <w:r w:rsidRPr="00E60622">
        <w:rPr>
          <w:rFonts w:cs="Times New Roman"/>
          <w:szCs w:val="24"/>
        </w:rPr>
        <w:t xml:space="preserve">The District’s argument that Education Law § 3602-c and § 4404 do not provide subject matter jurisdiction is unsupported by law, and unavailing.   </w:t>
      </w:r>
      <w:r w:rsidRPr="00E60622">
        <w:t xml:space="preserve">The new regulation’s plain language states that it applies prospectively to DPCs filed on or after July 16, 2024. The District Representative referenced guidance from the New York State Education Department (NYSED), indicating that the Education Law has never provided OATH with subject matter jurisdiction to hear requests for enhanced rate for equitable services. However, I decline to follow this guidance as it contravenes the rules of statutory construction that when amending a statute </w:t>
      </w:r>
      <w:r w:rsidR="004B28CE" w:rsidRPr="00E60622">
        <w:t>(</w:t>
      </w:r>
      <w:r w:rsidRPr="00E60622">
        <w:t>or regulation</w:t>
      </w:r>
      <w:r w:rsidR="004B28CE" w:rsidRPr="00E60622">
        <w:t>)</w:t>
      </w:r>
      <w:r w:rsidRPr="00E60622">
        <w:t xml:space="preserve">, </w:t>
      </w:r>
      <w:r w:rsidRPr="00E60622">
        <w:rPr>
          <w:rFonts w:eastAsia="Times New Roman"/>
          <w:lang w:bidi="en-US"/>
        </w:rPr>
        <w:t>“amendments [ ] are presumed to have prospective application unless the Legislature’s preference for retroactivity is explicitly stated or clearly indicated.”</w:t>
      </w:r>
      <w:r w:rsidRPr="00E60622">
        <w:rPr>
          <w:rStyle w:val="FootnoteReference"/>
          <w:rFonts w:eastAsia="Times New Roman"/>
          <w:lang w:bidi="en-US"/>
        </w:rPr>
        <w:footnoteReference w:id="4"/>
      </w:r>
      <w:r w:rsidRPr="00E60622">
        <w:rPr>
          <w:rFonts w:eastAsia="Times New Roman"/>
          <w:lang w:bidi="en-US"/>
        </w:rPr>
        <w:t xml:space="preserve"> This is because a retroactive statute [or regulation] “would impair rights a party possessed when he [she] acted…thus impacting </w:t>
      </w:r>
      <w:r w:rsidRPr="00E60622">
        <w:rPr>
          <w:rFonts w:eastAsia="Times New Roman"/>
          <w:lang w:bidi="en-US"/>
        </w:rPr>
        <w:lastRenderedPageBreak/>
        <w:t>substantive rights.</w:t>
      </w:r>
      <w:r w:rsidRPr="00E60622">
        <w:rPr>
          <w:rStyle w:val="FootnoteReference"/>
          <w:rFonts w:eastAsia="Times New Roman"/>
          <w:lang w:bidi="en-US"/>
        </w:rPr>
        <w:footnoteReference w:id="5"/>
      </w:r>
      <w:r w:rsidRPr="00E60622">
        <w:rPr>
          <w:rFonts w:eastAsia="Times New Roman"/>
          <w:lang w:bidi="en-US"/>
        </w:rPr>
        <w:t xml:space="preserve"> Here, the plain wording of the regulation explicitly applies </w:t>
      </w:r>
      <w:r w:rsidRPr="00E60622">
        <w:rPr>
          <w:rFonts w:eastAsia="Times New Roman"/>
          <w:i/>
          <w:iCs/>
          <w:lang w:bidi="en-US"/>
        </w:rPr>
        <w:t>prospectively</w:t>
      </w:r>
      <w:r w:rsidRPr="00E60622">
        <w:rPr>
          <w:rFonts w:eastAsia="Times New Roman"/>
          <w:lang w:bidi="en-US"/>
        </w:rPr>
        <w:t xml:space="preserve"> only. Therefore, even if I were to find that the MTD was ripe despite being filed prior to the new regulation being enacted, I would still find that such regulation is not applicable to this matter, where the DPC was filed well before July 16, 2024. </w:t>
      </w:r>
    </w:p>
    <w:p w14:paraId="3C569219" w14:textId="77777777" w:rsidR="00D15DEC" w:rsidRPr="004049B3" w:rsidRDefault="00D15DEC" w:rsidP="00D15DEC">
      <w:pPr>
        <w:jc w:val="both"/>
        <w:rPr>
          <w:i/>
          <w:iCs/>
          <w:color w:val="FF0000"/>
        </w:rPr>
      </w:pPr>
    </w:p>
    <w:p w14:paraId="602F9EE0" w14:textId="67DEDA96" w:rsidR="00D15DEC" w:rsidRPr="00814B97" w:rsidRDefault="005B2603" w:rsidP="00D15DEC">
      <w:pPr>
        <w:keepNext/>
        <w:keepLines/>
        <w:spacing w:before="40"/>
        <w:outlineLvl w:val="1"/>
        <w:rPr>
          <w:rFonts w:eastAsiaTheme="majorEastAsia" w:cs="Times New Roman"/>
          <w:b/>
          <w:bCs/>
          <w:szCs w:val="24"/>
        </w:rPr>
      </w:pPr>
      <w:r w:rsidRPr="00814B97">
        <w:rPr>
          <w:rFonts w:eastAsiaTheme="majorEastAsia" w:cs="Times New Roman"/>
          <w:b/>
          <w:bCs/>
          <w:szCs w:val="24"/>
        </w:rPr>
        <w:t>I</w:t>
      </w:r>
      <w:r w:rsidR="00411D1F" w:rsidRPr="00814B97">
        <w:rPr>
          <w:rFonts w:eastAsiaTheme="majorEastAsia" w:cs="Times New Roman"/>
          <w:b/>
          <w:bCs/>
          <w:szCs w:val="24"/>
        </w:rPr>
        <w:t>I</w:t>
      </w:r>
      <w:r w:rsidR="00D15DEC" w:rsidRPr="00814B97">
        <w:rPr>
          <w:rFonts w:eastAsiaTheme="majorEastAsia" w:cs="Times New Roman"/>
          <w:b/>
          <w:bCs/>
          <w:szCs w:val="24"/>
        </w:rPr>
        <w:t>. FAPE</w:t>
      </w:r>
    </w:p>
    <w:p w14:paraId="1DEED064" w14:textId="77777777" w:rsidR="00D15DEC" w:rsidRPr="00814B97" w:rsidRDefault="00D15DEC" w:rsidP="00D15DEC">
      <w:pPr>
        <w:autoSpaceDE w:val="0"/>
        <w:autoSpaceDN w:val="0"/>
        <w:adjustRightInd w:val="0"/>
        <w:spacing w:line="240" w:lineRule="auto"/>
        <w:rPr>
          <w:rFonts w:cs="Times New Roman"/>
          <w:szCs w:val="24"/>
          <w:u w:val="single"/>
        </w:rPr>
      </w:pPr>
    </w:p>
    <w:p w14:paraId="14CEDF43" w14:textId="79AC67A7" w:rsidR="00D15DEC" w:rsidRPr="00814B97" w:rsidRDefault="00D15DEC" w:rsidP="002B1B96">
      <w:pPr>
        <w:spacing w:line="240" w:lineRule="auto"/>
        <w:ind w:firstLine="720"/>
        <w:jc w:val="both"/>
      </w:pPr>
      <w:r w:rsidRPr="00814B97">
        <w:t>The IDEA provides that children with disabilities are entitled to a FAPE.</w:t>
      </w:r>
      <w:r w:rsidRPr="00814B97">
        <w:rPr>
          <w:vertAlign w:val="superscript"/>
        </w:rPr>
        <w:footnoteReference w:id="6"/>
      </w:r>
      <w:r w:rsidRPr="00814B97">
        <w:t xml:space="preserve"> A FAPE consists of specialized education and related services designed to meet a student’s unique needs, provided in conformity with a comprehensive written Individualized Education Program (IEP).</w:t>
      </w:r>
      <w:r w:rsidRPr="00814B97">
        <w:rPr>
          <w:vertAlign w:val="superscript"/>
        </w:rPr>
        <w:footnoteReference w:id="7"/>
      </w:r>
      <w:r w:rsidRPr="00814B97">
        <w:t xml:space="preserve"> Under State law, parents who have privately enrolled their child in a nonpublic school may seek educational “services” for their child with a disability by filing a request in the district where the nonpublic school is located on or before the first day of June preceding the school year for which the request for services is made.</w:t>
      </w:r>
      <w:r w:rsidRPr="00814B97">
        <w:rPr>
          <w:vertAlign w:val="superscript"/>
        </w:rPr>
        <w:footnoteReference w:id="8"/>
      </w:r>
      <w:r w:rsidRPr="00814B97">
        <w:t xml:space="preserve"> In response, the district must review the request and “develop an [IESP] for the student based on the student's individual needs in the same manner and with the same contents as an [IEP].”</w:t>
      </w:r>
      <w:r w:rsidRPr="00814B97">
        <w:rPr>
          <w:vertAlign w:val="superscript"/>
        </w:rPr>
        <w:footnoteReference w:id="9"/>
      </w:r>
      <w:r w:rsidRPr="00814B97">
        <w:t xml:space="preserve"> Further, the location district is responsible for implementing the IESP services.</w:t>
      </w:r>
      <w:r w:rsidRPr="00814B97">
        <w:rPr>
          <w:vertAlign w:val="superscript"/>
        </w:rPr>
        <w:footnoteReference w:id="10"/>
      </w:r>
      <w:r w:rsidRPr="00814B97">
        <w:t xml:space="preserve"> The CSE must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w:t>
      </w:r>
      <w:r w:rsidRPr="00814B97">
        <w:rPr>
          <w:vertAlign w:val="superscript"/>
        </w:rPr>
        <w:footnoteReference w:id="11"/>
      </w:r>
      <w:r w:rsidRPr="00814B97">
        <w:t xml:space="preserve"> </w:t>
      </w:r>
    </w:p>
    <w:p w14:paraId="14D7FCEF" w14:textId="77777777" w:rsidR="005D72AB" w:rsidRPr="004049B3" w:rsidRDefault="005D72AB" w:rsidP="00BC2B5B">
      <w:pPr>
        <w:spacing w:line="240" w:lineRule="auto"/>
        <w:jc w:val="both"/>
        <w:rPr>
          <w:color w:val="FF0000"/>
        </w:rPr>
      </w:pPr>
    </w:p>
    <w:p w14:paraId="5F57D798" w14:textId="77777777" w:rsidR="00D15DEC" w:rsidRPr="00814B97" w:rsidRDefault="00D15DEC" w:rsidP="00F3520F">
      <w:pPr>
        <w:spacing w:line="240" w:lineRule="auto"/>
        <w:ind w:firstLine="720"/>
        <w:jc w:val="both"/>
        <w:rPr>
          <w:rFonts w:cs="Times New Roman"/>
        </w:rPr>
      </w:pPr>
      <w:r w:rsidRPr="00814B97">
        <w:rPr>
          <w:rFonts w:cs="Times New Roman"/>
        </w:rPr>
        <w:t>The implementation of services falls on the district of location insofar as “boards of education of all school districts of the state shall furnish services to students who are residents of this state and who attend nonpublic schools located in such school districts, upon the written request of the parent.”</w:t>
      </w:r>
      <w:r w:rsidRPr="00814B97">
        <w:rPr>
          <w:rFonts w:cs="Times New Roman"/>
          <w:vertAlign w:val="superscript"/>
        </w:rPr>
        <w:footnoteReference w:id="12"/>
      </w:r>
      <w:r w:rsidRPr="00814B97">
        <w:rPr>
          <w:rFonts w:cs="Times New Roman"/>
        </w:rPr>
        <w:t xml:space="preserve"> The CSE must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w:t>
      </w:r>
      <w:r w:rsidRPr="00814B97">
        <w:rPr>
          <w:rFonts w:cs="Times New Roman"/>
          <w:vertAlign w:val="superscript"/>
        </w:rPr>
        <w:footnoteReference w:id="13"/>
      </w:r>
      <w:r w:rsidRPr="00814B97">
        <w:rPr>
          <w:rFonts w:cs="Times New Roman"/>
        </w:rPr>
        <w:t xml:space="preserve"> Additionally, §3602-c of the New York Education Law provides that a parent may seek review of the recommendation of the CSE pursuant to the impartial hearing and State-level review procedures pursuant to Education Law §4404.</w:t>
      </w:r>
    </w:p>
    <w:p w14:paraId="1D4020E9" w14:textId="60ECA070" w:rsidR="00EA66FF" w:rsidRDefault="00D15DEC" w:rsidP="002F5093">
      <w:pPr>
        <w:spacing w:before="240" w:after="120" w:line="240" w:lineRule="auto"/>
        <w:ind w:firstLine="720"/>
        <w:jc w:val="both"/>
      </w:pPr>
      <w:r w:rsidRPr="00101534">
        <w:rPr>
          <w:rFonts w:cs="Times New Roman"/>
        </w:rPr>
        <w:t xml:space="preserve">A district cannot be absolved of its statutory obligation to implement services for the student simply by being inactive in implementing the mandated services. </w:t>
      </w:r>
      <w:r w:rsidRPr="00101534">
        <w:t xml:space="preserve">The “appropriateness” in “FAPE” means, in part, that the program of special education services </w:t>
      </w:r>
      <w:r w:rsidRPr="00101534">
        <w:rPr>
          <w:rFonts w:cs="Times New Roman"/>
        </w:rPr>
        <w:t xml:space="preserve">will be properly </w:t>
      </w:r>
      <w:r w:rsidRPr="00101534">
        <w:rPr>
          <w:rFonts w:cs="Times New Roman"/>
        </w:rPr>
        <w:lastRenderedPageBreak/>
        <w:t>implemented</w:t>
      </w:r>
      <w:r w:rsidRPr="00EA66FF">
        <w:rPr>
          <w:rFonts w:cs="Times New Roman"/>
        </w:rPr>
        <w:t>.</w:t>
      </w:r>
      <w:r w:rsidRPr="00EA66FF">
        <w:rPr>
          <w:rFonts w:cs="Times New Roman"/>
          <w:vertAlign w:val="superscript"/>
        </w:rPr>
        <w:footnoteReference w:id="14"/>
      </w:r>
      <w:r w:rsidRPr="00EA66FF">
        <w:t xml:space="preserve">  </w:t>
      </w:r>
      <w:r w:rsidRPr="00EA66FF">
        <w:rPr>
          <w:rFonts w:cs="Times New Roman"/>
        </w:rPr>
        <w:t xml:space="preserve">In this case, the record shows that the DOE </w:t>
      </w:r>
      <w:r w:rsidR="005D72AB" w:rsidRPr="00EA66FF">
        <w:rPr>
          <w:rFonts w:cs="Times New Roman"/>
        </w:rPr>
        <w:t xml:space="preserve">developed an IESP for the Student in </w:t>
      </w:r>
      <w:r w:rsidR="00EA66FF" w:rsidRPr="00EA66FF">
        <w:rPr>
          <w:rFonts w:cs="Times New Roman"/>
        </w:rPr>
        <w:t>June 2020</w:t>
      </w:r>
      <w:r w:rsidR="005D72AB" w:rsidRPr="00EA66FF">
        <w:rPr>
          <w:rFonts w:cs="Times New Roman"/>
        </w:rPr>
        <w:t xml:space="preserve"> which recommended SETSS</w:t>
      </w:r>
      <w:r w:rsidR="00EA66FF" w:rsidRPr="00EA66FF">
        <w:rPr>
          <w:rFonts w:cs="Times New Roman"/>
        </w:rPr>
        <w:t xml:space="preserve"> and OT services (P. Ex. B). </w:t>
      </w:r>
      <w:r w:rsidR="00150B5E" w:rsidRPr="00EA66FF">
        <w:t xml:space="preserve">The DOE does not allege, and did not submit any evidence to prove, that any services were implemented for the Student for the 2023-2024 school </w:t>
      </w:r>
      <w:r w:rsidR="00EA66FF" w:rsidRPr="00EA66FF">
        <w:t xml:space="preserve">year. </w:t>
      </w:r>
      <w:r w:rsidR="00DF2A65" w:rsidRPr="00EA66FF">
        <w:t xml:space="preserve">The District Representative argued that the Parent’s request for relief </w:t>
      </w:r>
      <w:r w:rsidR="00D24EC1" w:rsidRPr="00EA66FF">
        <w:t>is</w:t>
      </w:r>
      <w:r w:rsidR="00DF2A65" w:rsidRPr="00EA66FF">
        <w:t xml:space="preserve"> barred by the so-called June 1</w:t>
      </w:r>
      <w:r w:rsidR="00DF2A65" w:rsidRPr="00EA66FF">
        <w:rPr>
          <w:vertAlign w:val="superscript"/>
        </w:rPr>
        <w:t>st</w:t>
      </w:r>
      <w:r w:rsidR="00DF2A65" w:rsidRPr="00EA66FF">
        <w:t xml:space="preserve"> Affirmative Defense</w:t>
      </w:r>
      <w:r w:rsidR="00325E06">
        <w:t xml:space="preserve">, </w:t>
      </w:r>
      <w:r w:rsidR="00DF2A65" w:rsidRPr="00EA66FF">
        <w:t>arguing that the Parent did not request services to be provided to the Student for the 2023-2024 school year prior to June 1, 2023, as required by the New York Education Law</w:t>
      </w:r>
      <w:r w:rsidR="00075501" w:rsidRPr="00EA66FF">
        <w:t xml:space="preserve"> </w:t>
      </w:r>
      <w:r w:rsidR="00075501" w:rsidRPr="00EA66FF">
        <w:rPr>
          <w:rFonts w:cs="Times New Roman"/>
        </w:rPr>
        <w:t>§</w:t>
      </w:r>
      <w:r w:rsidR="00075501" w:rsidRPr="00EA66FF">
        <w:t>3602-c</w:t>
      </w:r>
      <w:r w:rsidR="00D24EC1" w:rsidRPr="00EA66FF">
        <w:t xml:space="preserve">. </w:t>
      </w:r>
      <w:r w:rsidR="00EA66FF">
        <w:t xml:space="preserve">Indeed, DOE’s Exhibit 4 is a form signed by the Parent and submitted to the District on December 22, 2023, notifying the District that the Parent had enrolled the Student in a nonpublic school and was requesting special education services (DOE Ex. 4). </w:t>
      </w:r>
      <w:r w:rsidR="007B1B39">
        <w:t xml:space="preserve">However, Parent submitted </w:t>
      </w:r>
      <w:r w:rsidR="00074D88" w:rsidRPr="002F5093">
        <w:t xml:space="preserve">an “Authorization for Independent Education Teacher Services for a </w:t>
      </w:r>
      <w:proofErr w:type="gramStart"/>
      <w:r w:rsidR="00074D88" w:rsidRPr="002F5093">
        <w:t>Parentally-Placed</w:t>
      </w:r>
      <w:proofErr w:type="gramEnd"/>
      <w:r w:rsidR="00074D88" w:rsidRPr="002F5093">
        <w:t xml:space="preserve"> Student” form (SETSS Authorization Form), dated </w:t>
      </w:r>
      <w:r w:rsidR="003C542A" w:rsidRPr="002F5093">
        <w:t>September 1,</w:t>
      </w:r>
      <w:r w:rsidR="00074D88" w:rsidRPr="002F5093">
        <w:t xml:space="preserve"> 2023 (P. Ex. </w:t>
      </w:r>
      <w:r w:rsidR="003C542A" w:rsidRPr="002F5093">
        <w:t>C</w:t>
      </w:r>
      <w:r w:rsidR="00074D88" w:rsidRPr="002F5093">
        <w:t>). I find that o</w:t>
      </w:r>
      <w:r w:rsidR="00074D88" w:rsidRPr="002F5093">
        <w:rPr>
          <w:bCs/>
          <w:szCs w:val="24"/>
        </w:rPr>
        <w:t xml:space="preserve">nce the District issued the SETSS Authorization Form, it waived </w:t>
      </w:r>
      <w:r w:rsidR="00074D88" w:rsidRPr="002F5093">
        <w:rPr>
          <w:szCs w:val="24"/>
        </w:rPr>
        <w:t>the so-called June 1st Affirmative Defense, as the form indicates that the District was aware of the Student’s parental placement and continued need for special education services.</w:t>
      </w:r>
      <w:r w:rsidR="00074D88" w:rsidRPr="002F5093">
        <w:rPr>
          <w:rStyle w:val="FootnoteReference"/>
          <w:szCs w:val="24"/>
        </w:rPr>
        <w:footnoteReference w:id="15"/>
      </w:r>
      <w:r w:rsidR="00074D88" w:rsidRPr="002F5093">
        <w:rPr>
          <w:szCs w:val="24"/>
        </w:rPr>
        <w:t xml:space="preserve">  </w:t>
      </w:r>
      <w:r w:rsidR="00074D88" w:rsidRPr="002F5093">
        <w:rPr>
          <w:noProof/>
          <w:szCs w:val="24"/>
        </w:rPr>
        <w:t xml:space="preserve">The issuance of the authorization from from the District reflects an acknowledgement from the District that the Student had been parentally placed in a non-public shool and that the Student should have been receiving the recommended SETSS and related services, prior to the start of the 2023-2024 school year. </w:t>
      </w:r>
    </w:p>
    <w:p w14:paraId="16104268" w14:textId="52819A8B" w:rsidR="00E82DBE" w:rsidRPr="002F5093" w:rsidRDefault="00150B5E" w:rsidP="002F5093">
      <w:pPr>
        <w:spacing w:before="240" w:after="120" w:line="240" w:lineRule="auto"/>
        <w:ind w:firstLine="720"/>
        <w:jc w:val="both"/>
      </w:pPr>
      <w:r w:rsidRPr="002F5093">
        <w:t>It is therefore undisputed that the DOE failed to implement the services set forth in the Student’s 20</w:t>
      </w:r>
      <w:r w:rsidR="00F22128" w:rsidRPr="002F5093">
        <w:t>2</w:t>
      </w:r>
      <w:r w:rsidR="002F5093" w:rsidRPr="002F5093">
        <w:t>0</w:t>
      </w:r>
      <w:r w:rsidRPr="002F5093">
        <w:t xml:space="preserve"> IESP, </w:t>
      </w:r>
      <w:r w:rsidR="007F0B70">
        <w:t>despite acknowledging that the Student required such services. This</w:t>
      </w:r>
      <w:r w:rsidRPr="002F5093">
        <w:t xml:space="preserve"> left the Parent to contract for privately provided services</w:t>
      </w:r>
      <w:r w:rsidR="007F0B70">
        <w:t xml:space="preserve"> for the 2023-2024 school year</w:t>
      </w:r>
      <w:r w:rsidRPr="002F5093">
        <w:t>.  The DOE’s inaction was improper, as it has been held that the Department may not effectively compel the Parent to resort to self-help in obtaining a special education services provider.</w:t>
      </w:r>
      <w:r w:rsidRPr="002F5093">
        <w:rPr>
          <w:rFonts w:cs="Times New Roman"/>
          <w:shd w:val="clear" w:color="auto" w:fill="FFFFFF"/>
          <w:vertAlign w:val="superscript"/>
        </w:rPr>
        <w:footnoteReference w:id="16"/>
      </w:r>
      <w:r w:rsidRPr="002F5093">
        <w:t xml:space="preserve">  Such a </w:t>
      </w:r>
      <w:r w:rsidRPr="002F5093">
        <w:rPr>
          <w:rFonts w:cs="Times New Roman"/>
        </w:rPr>
        <w:t>“</w:t>
      </w:r>
      <w:r w:rsidRPr="002F5093">
        <w:rPr>
          <w:rFonts w:cs="Times New Roman"/>
          <w:shd w:val="clear" w:color="auto" w:fill="FFFFFF"/>
        </w:rPr>
        <w:t>de facto delegation from the district to the parent of the obligation to find a [private] provider . . . at an acceptable rate is manifestly unreasonable.”</w:t>
      </w:r>
      <w:r w:rsidRPr="002F5093">
        <w:rPr>
          <w:rFonts w:cs="Times New Roman"/>
          <w:shd w:val="clear" w:color="auto" w:fill="FFFFFF"/>
          <w:vertAlign w:val="superscript"/>
        </w:rPr>
        <w:footnoteReference w:id="17"/>
      </w:r>
      <w:r w:rsidRPr="002F5093">
        <w:rPr>
          <w:rFonts w:cs="Times New Roman"/>
          <w:shd w:val="clear" w:color="auto" w:fill="FFFFFF"/>
        </w:rPr>
        <w:t xml:space="preserve"> </w:t>
      </w:r>
      <w:r w:rsidRPr="002F5093">
        <w:t>The DOE’s failure to implement the program constitutes a denial of FAPE on an equitable basis for the 2023-2024 school year.</w:t>
      </w:r>
      <w:r w:rsidRPr="002F5093">
        <w:rPr>
          <w:vertAlign w:val="superscript"/>
        </w:rPr>
        <w:footnoteReference w:id="18"/>
      </w:r>
      <w:r w:rsidRPr="002F5093">
        <w:t xml:space="preserve"> </w:t>
      </w:r>
    </w:p>
    <w:p w14:paraId="3F2C9080" w14:textId="3DF0FA39" w:rsidR="00D15DEC" w:rsidRPr="00E82DBE" w:rsidRDefault="00D15DEC" w:rsidP="0082090C">
      <w:pPr>
        <w:pStyle w:val="Heading2"/>
        <w:rPr>
          <w:rFonts w:ascii="Times New Roman" w:hAnsi="Times New Roman" w:cs="Times New Roman"/>
          <w:b/>
          <w:bCs/>
          <w:color w:val="auto"/>
          <w:sz w:val="24"/>
          <w:szCs w:val="24"/>
        </w:rPr>
      </w:pPr>
      <w:r w:rsidRPr="00E82DBE">
        <w:rPr>
          <w:rFonts w:ascii="Times New Roman" w:hAnsi="Times New Roman" w:cs="Times New Roman"/>
          <w:b/>
          <w:bCs/>
          <w:color w:val="auto"/>
          <w:sz w:val="24"/>
          <w:szCs w:val="24"/>
        </w:rPr>
        <w:t>I</w:t>
      </w:r>
      <w:r w:rsidR="002412EE" w:rsidRPr="00E82DBE">
        <w:rPr>
          <w:rFonts w:ascii="Times New Roman" w:hAnsi="Times New Roman" w:cs="Times New Roman"/>
          <w:b/>
          <w:bCs/>
          <w:color w:val="auto"/>
          <w:sz w:val="24"/>
          <w:szCs w:val="24"/>
        </w:rPr>
        <w:t>II</w:t>
      </w:r>
      <w:r w:rsidRPr="00E82DBE">
        <w:rPr>
          <w:rFonts w:ascii="Times New Roman" w:hAnsi="Times New Roman" w:cs="Times New Roman"/>
          <w:b/>
          <w:bCs/>
          <w:color w:val="auto"/>
          <w:sz w:val="24"/>
          <w:szCs w:val="24"/>
        </w:rPr>
        <w:t>. Relief</w:t>
      </w:r>
    </w:p>
    <w:p w14:paraId="2BB0660D" w14:textId="77777777" w:rsidR="00D15DEC" w:rsidRPr="00E82DBE" w:rsidRDefault="00D15DEC" w:rsidP="00D15DEC">
      <w:pPr>
        <w:spacing w:line="240" w:lineRule="auto"/>
        <w:rPr>
          <w:rFonts w:cs="Times New Roman"/>
        </w:rPr>
      </w:pPr>
    </w:p>
    <w:p w14:paraId="3F2EF97F" w14:textId="77777777" w:rsidR="00E82DBE" w:rsidRPr="00E82DBE" w:rsidRDefault="00D15DEC" w:rsidP="00E82DBE">
      <w:pPr>
        <w:spacing w:line="240" w:lineRule="auto"/>
        <w:jc w:val="both"/>
        <w:rPr>
          <w:rFonts w:cs="Times New Roman"/>
        </w:rPr>
      </w:pPr>
      <w:r w:rsidRPr="00E82DBE">
        <w:tab/>
      </w:r>
      <w:r w:rsidR="00E82DBE" w:rsidRPr="00E82DBE">
        <w:rPr>
          <w:rFonts w:cs="Times New Roman"/>
        </w:rPr>
        <w:t>The remedy for a school district’s failure to provide appropriate equitable services required under Education Law § 3602-c is similar to the remedy for a school district’s failure to provide appropriate services under the IDEA.</w:t>
      </w:r>
      <w:r w:rsidR="00E82DBE" w:rsidRPr="00E82DBE">
        <w:rPr>
          <w:rFonts w:cs="Times New Roman"/>
          <w:vertAlign w:val="superscript"/>
        </w:rPr>
        <w:footnoteReference w:id="19"/>
      </w:r>
      <w:r w:rsidR="00E82DBE" w:rsidRPr="00E82DBE">
        <w:rPr>
          <w:rFonts w:cs="Times New Roman"/>
        </w:rPr>
        <w:t xml:space="preserve"> Under the IDEA, courts can “grant such relief as the court determines is appropriate”, limited only by the restriction that “the relief is to be appropriate in </w:t>
      </w:r>
      <w:r w:rsidR="00E82DBE" w:rsidRPr="00E82DBE">
        <w:rPr>
          <w:rFonts w:cs="Times New Roman"/>
        </w:rPr>
        <w:lastRenderedPageBreak/>
        <w:t>light of the purpose of the Act.”</w:t>
      </w:r>
      <w:r w:rsidR="00E82DBE" w:rsidRPr="00E82DBE">
        <w:rPr>
          <w:rFonts w:cs="Times New Roman"/>
          <w:vertAlign w:val="superscript"/>
        </w:rPr>
        <w:footnoteReference w:id="20"/>
      </w:r>
      <w:r w:rsidR="00E82DBE" w:rsidRPr="00E82DBE">
        <w:rPr>
          <w:rFonts w:cs="Times New Roman"/>
        </w:rPr>
        <w:t xml:space="preserve"> Equitable considerations are relevant in fashioning relief, and the court enjoys broad discretion in doing so.</w:t>
      </w:r>
      <w:r w:rsidR="00E82DBE" w:rsidRPr="00E82DBE">
        <w:rPr>
          <w:rFonts w:cs="Times New Roman"/>
          <w:vertAlign w:val="superscript"/>
        </w:rPr>
        <w:footnoteReference w:id="21"/>
      </w:r>
      <w:r w:rsidR="00E82DBE" w:rsidRPr="00E82DBE">
        <w:rPr>
          <w:rFonts w:cs="Times New Roman"/>
        </w:rPr>
        <w:t xml:space="preserve"> Although an award of damages is not available under the IDEA</w:t>
      </w:r>
      <w:r w:rsidR="00E82DBE" w:rsidRPr="00E82DBE">
        <w:rPr>
          <w:rFonts w:cs="Times New Roman"/>
          <w:vertAlign w:val="superscript"/>
        </w:rPr>
        <w:footnoteReference w:id="22"/>
      </w:r>
      <w:r w:rsidR="00E82DBE" w:rsidRPr="00E82DBE">
        <w:rPr>
          <w:rFonts w:cs="Times New Roman"/>
        </w:rPr>
        <w:t xml:space="preserve"> “a court may award various forms of retroactive and prospective equitable relief, including reimbursement of tuition, compensatory education, and other declaratory and injunctive remedies.”</w:t>
      </w:r>
      <w:r w:rsidR="00E82DBE" w:rsidRPr="00E82DBE">
        <w:rPr>
          <w:rFonts w:cs="Times New Roman"/>
          <w:vertAlign w:val="superscript"/>
        </w:rPr>
        <w:footnoteReference w:id="23"/>
      </w:r>
      <w:r w:rsidR="00E82DBE" w:rsidRPr="00E82DBE">
        <w:rPr>
          <w:rFonts w:cs="Times New Roman"/>
        </w:rPr>
        <w:t xml:space="preserve"> </w:t>
      </w:r>
    </w:p>
    <w:p w14:paraId="082641AF" w14:textId="77777777" w:rsidR="00E82DBE" w:rsidRPr="00E82DBE" w:rsidRDefault="00E82DBE" w:rsidP="00E82DBE">
      <w:pPr>
        <w:spacing w:line="240" w:lineRule="auto"/>
        <w:jc w:val="both"/>
        <w:rPr>
          <w:rFonts w:cs="Times New Roman"/>
          <w:color w:val="FF0000"/>
        </w:rPr>
      </w:pPr>
    </w:p>
    <w:p w14:paraId="3EB28A46" w14:textId="77777777" w:rsidR="00E82DBE" w:rsidRPr="00703D72" w:rsidRDefault="00E82DBE" w:rsidP="00E82DBE">
      <w:pPr>
        <w:spacing w:line="240" w:lineRule="auto"/>
        <w:ind w:firstLine="720"/>
        <w:jc w:val="both"/>
      </w:pPr>
      <w:r w:rsidRPr="00703D72">
        <w:t>My first task in this matter is to determine whether the DOE is obligated to reimburse the Provider Agency for services that were rendered to the Student due to a failure by the DOE to provide a FAPE.  The analysis for so-called “equitable service rate” cases have been treated in New York as a hybrid between unilateral placement theory cases</w:t>
      </w:r>
      <w:r w:rsidRPr="00703D72">
        <w:rPr>
          <w:rFonts w:cs="Times New Roman"/>
          <w:shd w:val="clear" w:color="auto" w:fill="FFFFFF"/>
        </w:rPr>
        <w:t>,</w:t>
      </w:r>
      <w:r w:rsidRPr="00703D72">
        <w:rPr>
          <w:rFonts w:cs="Times New Roman"/>
          <w:shd w:val="clear" w:color="auto" w:fill="FFFFFF"/>
          <w:vertAlign w:val="superscript"/>
        </w:rPr>
        <w:footnoteReference w:id="24"/>
      </w:r>
      <w:r w:rsidRPr="00703D72">
        <w:rPr>
          <w:rFonts w:cs="Times New Roman"/>
          <w:shd w:val="clear" w:color="auto" w:fill="FFFFFF"/>
        </w:rPr>
        <w:t xml:space="preserve"> and pure compensatory education cases.</w:t>
      </w:r>
      <w:r w:rsidRPr="00703D72">
        <w:rPr>
          <w:rFonts w:cs="Times New Roman"/>
          <w:shd w:val="clear" w:color="auto" w:fill="FFFFFF"/>
          <w:vertAlign w:val="superscript"/>
        </w:rPr>
        <w:footnoteReference w:id="25"/>
      </w:r>
      <w:r w:rsidRPr="00703D72">
        <w:rPr>
          <w:rFonts w:cs="Times New Roman"/>
          <w:shd w:val="clear" w:color="auto" w:fill="FFFFFF"/>
        </w:rPr>
        <w:t xml:space="preserve">  </w:t>
      </w:r>
      <w:r w:rsidRPr="00703D72">
        <w:t>To grant the relief requested by Parent, I must still find that it is appropriate and find that equitable considerations support Parent’s request based upon the hearing record. In a case such as this the evidence must be reviewed, consistent with my obligation and equitable authority to ensure that the remedy “be appropriate in light of the purpose of the Act.”</w:t>
      </w:r>
      <w:r w:rsidRPr="00703D72">
        <w:rPr>
          <w:vertAlign w:val="superscript"/>
        </w:rPr>
        <w:footnoteReference w:id="26"/>
      </w:r>
      <w:r w:rsidRPr="00703D72">
        <w:rPr>
          <w:i/>
          <w:iCs/>
        </w:rPr>
        <w:t xml:space="preserve"> </w:t>
      </w:r>
      <w:r w:rsidRPr="00703D72">
        <w:t xml:space="preserve">Generally, </w:t>
      </w:r>
      <w:r w:rsidRPr="00703D72">
        <w:rPr>
          <w:rFonts w:cs="Times New Roman"/>
        </w:rPr>
        <w:t>when determining whether a private placement is appropriate, "[u]</w:t>
      </w:r>
      <w:proofErr w:type="spellStart"/>
      <w:r w:rsidRPr="00703D72">
        <w:rPr>
          <w:rFonts w:cs="Times New Roman"/>
        </w:rPr>
        <w:t>ltimately</w:t>
      </w:r>
      <w:proofErr w:type="spellEnd"/>
      <w:r w:rsidRPr="00703D72">
        <w:rPr>
          <w:rFonts w:cs="Times New Roman"/>
        </w:rPr>
        <w:t>, the issue turns on" whether the placement is "reasonably calculated to enable the child to receive educational benefits."</w:t>
      </w:r>
      <w:r w:rsidRPr="00703D72">
        <w:rPr>
          <w:rFonts w:cs="Times New Roman"/>
          <w:vertAlign w:val="superscript"/>
        </w:rPr>
        <w:footnoteReference w:id="27"/>
      </w:r>
      <w:r w:rsidRPr="00703D72">
        <w:rPr>
          <w:rFonts w:cs="Times New Roman"/>
        </w:rPr>
        <w:t xml:space="preserve"> A private placement is appropriate if it provides instruction specially designed to meet the unique needs of a student.</w:t>
      </w:r>
      <w:r w:rsidRPr="00703D72">
        <w:rPr>
          <w:rFonts w:cs="Times New Roman"/>
          <w:vertAlign w:val="superscript"/>
        </w:rPr>
        <w:footnoteReference w:id="28"/>
      </w:r>
      <w:r w:rsidRPr="00703D72">
        <w:rPr>
          <w:rFonts w:cs="Times New Roman"/>
        </w:rPr>
        <w:t xml:space="preserve"> </w:t>
      </w:r>
    </w:p>
    <w:p w14:paraId="626F8601" w14:textId="77777777" w:rsidR="00E82DBE" w:rsidRPr="00E82DBE" w:rsidRDefault="00E82DBE" w:rsidP="00E82DBE">
      <w:pPr>
        <w:spacing w:line="240" w:lineRule="auto"/>
        <w:jc w:val="both"/>
        <w:rPr>
          <w:color w:val="FF0000"/>
        </w:rPr>
      </w:pPr>
    </w:p>
    <w:p w14:paraId="6B74C7C0" w14:textId="65783121" w:rsidR="00E82DBE" w:rsidRPr="00CB5937" w:rsidRDefault="00E82DBE" w:rsidP="00E82DBE">
      <w:pPr>
        <w:spacing w:line="240" w:lineRule="auto"/>
        <w:jc w:val="both"/>
      </w:pPr>
      <w:r w:rsidRPr="00B9249B">
        <w:tab/>
        <w:t>The Provider Agency charges $19</w:t>
      </w:r>
      <w:r w:rsidR="00AE4672" w:rsidRPr="00B9249B">
        <w:t>5</w:t>
      </w:r>
      <w:r w:rsidRPr="00B9249B">
        <w:t xml:space="preserve">.00 per hour for SETSS </w:t>
      </w:r>
      <w:r w:rsidR="00AE4672" w:rsidRPr="00B9249B">
        <w:t xml:space="preserve">(P. Ex. D, P. Ex. G </w:t>
      </w:r>
      <w:r w:rsidR="00AE4672" w:rsidRPr="00B9249B">
        <w:rPr>
          <w:rFonts w:cs="Times New Roman"/>
        </w:rPr>
        <w:t>¶</w:t>
      </w:r>
      <w:r w:rsidR="00AE4672" w:rsidRPr="00B9249B">
        <w:t xml:space="preserve">7). </w:t>
      </w:r>
      <w:r w:rsidRPr="00B9249B">
        <w:t>The Provider Agency administered</w:t>
      </w:r>
      <w:r w:rsidR="00C42D7A" w:rsidRPr="00B9249B">
        <w:t xml:space="preserve"> five</w:t>
      </w:r>
      <w:r w:rsidRPr="00B9249B">
        <w:t xml:space="preserve"> hours per week of SETSS</w:t>
      </w:r>
      <w:r w:rsidR="00C42D7A" w:rsidRPr="00B9249B">
        <w:t xml:space="preserve"> to the Student for the 2023-2024 school </w:t>
      </w:r>
      <w:r w:rsidR="00C42D7A" w:rsidRPr="00172279">
        <w:t xml:space="preserve">year, beginning on September 1, 2023 (P. Ex. G </w:t>
      </w:r>
      <w:r w:rsidR="00C42D7A" w:rsidRPr="00172279">
        <w:rPr>
          <w:rFonts w:cs="Times New Roman"/>
        </w:rPr>
        <w:t>¶</w:t>
      </w:r>
      <w:r w:rsidR="00C42D7A" w:rsidRPr="00172279">
        <w:t xml:space="preserve">9, </w:t>
      </w:r>
      <w:r w:rsidR="00C42D7A" w:rsidRPr="0009295D">
        <w:rPr>
          <w:i/>
          <w:iCs/>
        </w:rPr>
        <w:t xml:space="preserve">see </w:t>
      </w:r>
      <w:r w:rsidR="00C42D7A" w:rsidRPr="00172279">
        <w:t xml:space="preserve">Transcript of Due Process Hearing 11/15/2024). </w:t>
      </w:r>
      <w:r w:rsidR="00B9249B" w:rsidRPr="00172279">
        <w:t xml:space="preserve"> </w:t>
      </w:r>
      <w:r w:rsidRPr="00172279">
        <w:t xml:space="preserve">The record supports a finding that the private programs were tailored to meet the unique educational needs of the Student. The </w:t>
      </w:r>
      <w:r w:rsidR="00B9249B" w:rsidRPr="00172279">
        <w:t>Educational Directo</w:t>
      </w:r>
      <w:r w:rsidRPr="00172279">
        <w:t>r from the Provider Agency provided unrebutted, credible, and extensive testimony addressing the Student’s deficits; the assessments conducted of the Student at the beginning and end of the school year; the techniques and modalities being used with the Student; and the Student’s progress in response to the private programs (</w:t>
      </w:r>
      <w:r w:rsidRPr="00172279">
        <w:rPr>
          <w:i/>
          <w:iCs/>
        </w:rPr>
        <w:t>see, e.g</w:t>
      </w:r>
      <w:r w:rsidRPr="00172279">
        <w:t xml:space="preserve">., </w:t>
      </w:r>
      <w:r w:rsidRPr="00172279">
        <w:rPr>
          <w:rFonts w:cs="Times New Roman"/>
        </w:rPr>
        <w:t>P. Ex. G</w:t>
      </w:r>
      <w:r w:rsidR="00B9249B" w:rsidRPr="00172279">
        <w:rPr>
          <w:rFonts w:cs="Times New Roman"/>
        </w:rPr>
        <w:t xml:space="preserve"> ¶¶</w:t>
      </w:r>
      <w:r w:rsidR="00172279" w:rsidRPr="00172279">
        <w:rPr>
          <w:rFonts w:cs="Times New Roman"/>
        </w:rPr>
        <w:t xml:space="preserve"> 6-21</w:t>
      </w:r>
      <w:r w:rsidRPr="00172279">
        <w:rPr>
          <w:rFonts w:cs="Times New Roman"/>
        </w:rPr>
        <w:t>, Transcript of Due Process Hearing,</w:t>
      </w:r>
      <w:r w:rsidR="00B9249B" w:rsidRPr="00172279">
        <w:rPr>
          <w:rFonts w:cs="Times New Roman"/>
        </w:rPr>
        <w:t xml:space="preserve"> 11/15/2024</w:t>
      </w:r>
      <w:r w:rsidRPr="00172279">
        <w:rPr>
          <w:rFonts w:cs="Times New Roman"/>
        </w:rPr>
        <w:t xml:space="preserve">). </w:t>
      </w:r>
      <w:r w:rsidR="00172279">
        <w:rPr>
          <w:rFonts w:cs="Times New Roman"/>
        </w:rPr>
        <w:t xml:space="preserve">The Parent </w:t>
      </w:r>
      <w:r w:rsidR="00172279" w:rsidRPr="00CB5937">
        <w:rPr>
          <w:rFonts w:cs="Times New Roman"/>
        </w:rPr>
        <w:t xml:space="preserve">also submitted a Progress Report dated May 15, 2024, further outlining the Student’s progress and progress (P. Ex. F). </w:t>
      </w:r>
    </w:p>
    <w:p w14:paraId="7A200676" w14:textId="77777777" w:rsidR="00E82DBE" w:rsidRPr="00CB5937" w:rsidRDefault="00E82DBE" w:rsidP="00E82DBE">
      <w:pPr>
        <w:spacing w:line="240" w:lineRule="auto"/>
        <w:jc w:val="both"/>
      </w:pPr>
    </w:p>
    <w:p w14:paraId="39A4C47E" w14:textId="0DFC8F0C" w:rsidR="00E82DBE" w:rsidRPr="00CB5937" w:rsidRDefault="00E82DBE" w:rsidP="00E82DBE">
      <w:pPr>
        <w:spacing w:line="240" w:lineRule="auto"/>
        <w:ind w:firstLine="720"/>
        <w:jc w:val="both"/>
      </w:pPr>
      <w:r w:rsidRPr="00CB5937">
        <w:t xml:space="preserve">In sum, I find that the record shows that the Student received </w:t>
      </w:r>
      <w:r w:rsidR="00CB5937" w:rsidRPr="00CB5937">
        <w:t xml:space="preserve">SETSS </w:t>
      </w:r>
      <w:r w:rsidRPr="00CB5937">
        <w:t>from the Provider Agency at the frequency recommended by the Student’s 202</w:t>
      </w:r>
      <w:r w:rsidR="00CB5937" w:rsidRPr="00CB5937">
        <w:t>0</w:t>
      </w:r>
      <w:r w:rsidRPr="00CB5937">
        <w:t xml:space="preserve"> IESP; that such services were </w:t>
      </w:r>
      <w:r w:rsidRPr="00CB5937">
        <w:lastRenderedPageBreak/>
        <w:t xml:space="preserve">uniquely tailored to the needs of the Student; and that the Student made progress in response to the private program. Therefore, and with the acknowledgement that without the private provides in this case, the Student would not be receiving any services at all, I find that the Provider Agency administered a private program to the Student that is appropriate and met the Student’s educational needs.  </w:t>
      </w:r>
    </w:p>
    <w:p w14:paraId="0112F7B5" w14:textId="77777777" w:rsidR="00E82DBE" w:rsidRPr="00846E48" w:rsidRDefault="00E82DBE" w:rsidP="00E82DBE">
      <w:pPr>
        <w:spacing w:line="240" w:lineRule="auto"/>
        <w:ind w:firstLine="720"/>
        <w:jc w:val="both"/>
      </w:pPr>
    </w:p>
    <w:p w14:paraId="4FB59DBD" w14:textId="700A7C18" w:rsidR="00E82DBE" w:rsidRPr="00846E48" w:rsidRDefault="00E82DBE" w:rsidP="00E82DBE">
      <w:pPr>
        <w:spacing w:line="240" w:lineRule="auto"/>
        <w:ind w:firstLine="720"/>
        <w:jc w:val="both"/>
      </w:pPr>
      <w:r w:rsidRPr="00846E48">
        <w:t xml:space="preserve">Finally, I find that nothing in the record supports a finding that the rates charged by the Provider Agency are unreasonable or excessive. DOE Exhibit </w:t>
      </w:r>
      <w:r w:rsidR="00846E48" w:rsidRPr="00846E48">
        <w:t>1</w:t>
      </w:r>
      <w:r w:rsidRPr="00846E48">
        <w:t xml:space="preserve"> is a report titled “Hourly Rates for Independently Contracted Special Education Teachers and Related Service Providers,” published by the American Institutes for Research in October 2023 (herein after referred to as the SETSS Rate Study or Study). A review of the document indicates that the purpose of the Study was to analyze data from the Bureau of Labor Statistics (BLS) and develop an approach for DOE to calculate hourly rates that should be paid to independently contracted providers, and to “calculate hourly rates for special education teachers in the region that NYC DOE can use to determine a fair market rate for its [SETSS] special education teachers” (DOE Ex. </w:t>
      </w:r>
      <w:r w:rsidR="00846E48" w:rsidRPr="00846E48">
        <w:t>1</w:t>
      </w:r>
      <w:r w:rsidRPr="00846E48">
        <w:t xml:space="preserve">-4). However, the District did not present any testimony addressing or detailing the exhibit. </w:t>
      </w:r>
    </w:p>
    <w:p w14:paraId="05714457" w14:textId="77777777" w:rsidR="00E82DBE" w:rsidRPr="00E82DBE" w:rsidRDefault="00E82DBE" w:rsidP="00E82DBE">
      <w:pPr>
        <w:spacing w:line="240" w:lineRule="auto"/>
        <w:jc w:val="both"/>
        <w:rPr>
          <w:i/>
          <w:iCs/>
          <w:color w:val="FF0000"/>
        </w:rPr>
      </w:pPr>
    </w:p>
    <w:p w14:paraId="65577307" w14:textId="2DA230B2" w:rsidR="00E82DBE" w:rsidRPr="00CB5937" w:rsidRDefault="00E82DBE" w:rsidP="00E82DBE">
      <w:pPr>
        <w:spacing w:line="240" w:lineRule="auto"/>
        <w:ind w:firstLine="720"/>
        <w:jc w:val="both"/>
        <w:rPr>
          <w:rFonts w:cs="Times New Roman"/>
        </w:rPr>
      </w:pPr>
      <w:r w:rsidRPr="00CB5937">
        <w:rPr>
          <w:rFonts w:cs="Times New Roman"/>
        </w:rPr>
        <w:t xml:space="preserve">While the rules of evidence are relaxed in administrative proceedings, and documents may be admitted without full adherence to the formal rules of evidence, it is within the IHO's discretion to determine the weight and credibility given to evidence.  Here, without additional testimony or argument, I am unable to fully interpret the exhibit within the context of this proceeding. Therefore, I give the exhibit little weight in my determination of whether the rate charged by the Provider Agency for SETSS is reasonable.  </w:t>
      </w:r>
      <w:r w:rsidRPr="00CB5937">
        <w:t xml:space="preserve">Moreover, the record contains testimony substantiating the position that the rates charged by the Provider Agency for SETSS </w:t>
      </w:r>
      <w:r w:rsidR="00CB5937" w:rsidRPr="00CB5937">
        <w:t>was necessary</w:t>
      </w:r>
      <w:r w:rsidRPr="00CB5937">
        <w:t xml:space="preserve"> to provide services to the Student and to run the agency (</w:t>
      </w:r>
      <w:r w:rsidRPr="00CB5937">
        <w:rPr>
          <w:i/>
          <w:iCs/>
        </w:rPr>
        <w:t>see, e.g</w:t>
      </w:r>
      <w:r w:rsidRPr="00CB5937">
        <w:t xml:space="preserve">., P. Ex. </w:t>
      </w:r>
      <w:r w:rsidR="00CB5937" w:rsidRPr="00CB5937">
        <w:t>G</w:t>
      </w:r>
      <w:r w:rsidRPr="00CB5937">
        <w:t xml:space="preserve">, Transcript of Due Process Hearing, </w:t>
      </w:r>
      <w:r w:rsidR="00CB5937" w:rsidRPr="00CB5937">
        <w:t>11/15/2024</w:t>
      </w:r>
      <w:r w:rsidRPr="00CB5937">
        <w:t xml:space="preserve">).    </w:t>
      </w:r>
    </w:p>
    <w:p w14:paraId="66E4C0F0" w14:textId="77777777" w:rsidR="00E82DBE" w:rsidRPr="00E82DBE" w:rsidRDefault="00E82DBE" w:rsidP="00E82DBE">
      <w:pPr>
        <w:jc w:val="both"/>
        <w:rPr>
          <w:i/>
          <w:iCs/>
          <w:color w:val="FF0000"/>
        </w:rPr>
      </w:pPr>
    </w:p>
    <w:p w14:paraId="70CA9884" w14:textId="77777777" w:rsidR="00E82DBE" w:rsidRPr="00E82DBE" w:rsidRDefault="00E82DBE" w:rsidP="00E82DBE">
      <w:pPr>
        <w:jc w:val="both"/>
        <w:rPr>
          <w:i/>
          <w:iCs/>
        </w:rPr>
      </w:pPr>
      <w:r w:rsidRPr="00E82DBE">
        <w:rPr>
          <w:i/>
          <w:iCs/>
        </w:rPr>
        <w:t xml:space="preserve">Compensatory Services </w:t>
      </w:r>
    </w:p>
    <w:p w14:paraId="2749FE49" w14:textId="77777777" w:rsidR="00E82DBE" w:rsidRPr="00E82DBE" w:rsidRDefault="00E82DBE" w:rsidP="00E82DBE">
      <w:pPr>
        <w:jc w:val="both"/>
        <w:rPr>
          <w:rFonts w:cs="Times New Roman"/>
        </w:rPr>
      </w:pPr>
    </w:p>
    <w:p w14:paraId="5CACF396" w14:textId="77777777" w:rsidR="00E82DBE" w:rsidRPr="0094360C" w:rsidRDefault="00E82DBE" w:rsidP="00E82DBE">
      <w:pPr>
        <w:spacing w:line="240" w:lineRule="auto"/>
        <w:ind w:firstLine="720"/>
        <w:jc w:val="both"/>
        <w:rPr>
          <w:rFonts w:cs="Times New Roman"/>
        </w:rPr>
      </w:pPr>
      <w:r w:rsidRPr="00E82DBE">
        <w:rPr>
          <w:rFonts w:cs="Times New Roman"/>
        </w:rPr>
        <w:t>An appropriate equitable remedy for a denial of FAPE can include an award of compensatory education.</w:t>
      </w:r>
      <w:r w:rsidRPr="00E82DBE">
        <w:rPr>
          <w:rFonts w:ascii="ZWAdobeF" w:hAnsi="ZWAdobeF" w:cs="ZWAdobeF"/>
          <w:sz w:val="2"/>
          <w:szCs w:val="2"/>
        </w:rPr>
        <w:t>32F</w:t>
      </w:r>
      <w:r w:rsidRPr="00E82DBE">
        <w:rPr>
          <w:rFonts w:cs="Times New Roman"/>
          <w:vertAlign w:val="superscript"/>
        </w:rPr>
        <w:footnoteReference w:id="29"/>
      </w:r>
      <w:r w:rsidRPr="00E82DBE">
        <w:rPr>
          <w:rFonts w:cs="Times New Roman"/>
        </w:rPr>
        <w:t xml:space="preserve"> Compensatory education is “prospective equitable relief” that requires a school district to fund education “as a remedy for any earlier deprivations in the child's education.”</w:t>
      </w:r>
      <w:r w:rsidRPr="00E82DBE">
        <w:rPr>
          <w:rFonts w:ascii="ZWAdobeF" w:hAnsi="ZWAdobeF" w:cs="ZWAdobeF"/>
          <w:sz w:val="2"/>
          <w:szCs w:val="2"/>
        </w:rPr>
        <w:t>33F</w:t>
      </w:r>
      <w:r w:rsidRPr="00E82DBE">
        <w:rPr>
          <w:rFonts w:cs="Times New Roman"/>
          <w:vertAlign w:val="superscript"/>
        </w:rPr>
        <w:footnoteReference w:id="30"/>
      </w:r>
      <w:r w:rsidRPr="00E82DBE">
        <w:rPr>
          <w:rFonts w:cs="Times New Roman"/>
        </w:rPr>
        <w:t xml:space="preserve">  There are generally two approaches to fashioning a compensatory education award, </w:t>
      </w:r>
      <w:r w:rsidRPr="00E82DBE">
        <w:rPr>
          <w:rFonts w:cs="Times New Roman"/>
          <w:i/>
          <w:iCs/>
        </w:rPr>
        <w:t>viz</w:t>
      </w:r>
      <w:r w:rsidRPr="00E82DBE">
        <w:rPr>
          <w:rFonts w:cs="Times New Roman"/>
        </w:rPr>
        <w:t>, the “quantitative” approach followed in the Third Circuit</w:t>
      </w:r>
      <w:r w:rsidRPr="00E82DBE">
        <w:rPr>
          <w:rFonts w:ascii="ZWAdobeF" w:hAnsi="ZWAdobeF" w:cs="ZWAdobeF"/>
          <w:sz w:val="2"/>
          <w:szCs w:val="2"/>
        </w:rPr>
        <w:t>34F</w:t>
      </w:r>
      <w:r w:rsidRPr="00E82DBE">
        <w:rPr>
          <w:rFonts w:cs="Times New Roman"/>
          <w:vertAlign w:val="superscript"/>
        </w:rPr>
        <w:footnoteReference w:id="31"/>
      </w:r>
      <w:r w:rsidRPr="00E82DBE">
        <w:rPr>
          <w:rFonts w:cs="Times New Roman"/>
        </w:rPr>
        <w:t>, and the “qualitative” approach relied on by the Sixth and D.C. Circuits.</w:t>
      </w:r>
      <w:r w:rsidRPr="00E82DBE">
        <w:rPr>
          <w:rFonts w:ascii="ZWAdobeF" w:hAnsi="ZWAdobeF" w:cs="ZWAdobeF"/>
          <w:sz w:val="2"/>
          <w:szCs w:val="2"/>
        </w:rPr>
        <w:t>35F</w:t>
      </w:r>
      <w:r w:rsidRPr="00E82DBE">
        <w:rPr>
          <w:rFonts w:cs="Times New Roman"/>
          <w:vertAlign w:val="superscript"/>
        </w:rPr>
        <w:footnoteReference w:id="32"/>
      </w:r>
      <w:r w:rsidRPr="00E82DBE">
        <w:rPr>
          <w:rFonts w:cs="Times New Roman"/>
        </w:rPr>
        <w:t xml:space="preserve"> The Second Circuit has not taken a preferred approach, opting instead as a general practice to “leave the mechanics of structuring the compensatory </w:t>
      </w:r>
      <w:r w:rsidRPr="00E82DBE">
        <w:rPr>
          <w:rFonts w:cs="Times New Roman"/>
        </w:rPr>
        <w:lastRenderedPageBreak/>
        <w:t>education award to the district court’s sound discretion”, so long as “the relief is […] appropriate in light of the purpose of the Act.”</w:t>
      </w:r>
      <w:r w:rsidRPr="00E82DBE">
        <w:rPr>
          <w:rFonts w:ascii="ZWAdobeF" w:hAnsi="ZWAdobeF" w:cs="ZWAdobeF"/>
          <w:sz w:val="2"/>
          <w:szCs w:val="2"/>
        </w:rPr>
        <w:t>36F</w:t>
      </w:r>
      <w:r w:rsidRPr="00E82DBE">
        <w:rPr>
          <w:rFonts w:cs="Times New Roman"/>
          <w:vertAlign w:val="superscript"/>
        </w:rPr>
        <w:footnoteReference w:id="33"/>
      </w:r>
      <w:r w:rsidRPr="00E82DBE">
        <w:rPr>
          <w:rFonts w:cs="Times New Roman"/>
        </w:rPr>
        <w:t xml:space="preserve"> In calculating an award, a court can also consider “whether compensatory education should be limited to the kinds of services specified in the [IEP], or encompass analogous educational services appropriate to the Student’s current’s needs”; however, the ultimate award “must be reasonably calculated to provide the educational benefits that likely would have accrued from special education services the school district should have supplied in the </w:t>
      </w:r>
      <w:r w:rsidRPr="0094360C">
        <w:rPr>
          <w:rFonts w:cs="Times New Roman"/>
        </w:rPr>
        <w:t>first place.”</w:t>
      </w:r>
      <w:r w:rsidRPr="0094360C">
        <w:rPr>
          <w:rFonts w:ascii="ZWAdobeF" w:hAnsi="ZWAdobeF" w:cs="ZWAdobeF"/>
          <w:sz w:val="2"/>
          <w:szCs w:val="2"/>
        </w:rPr>
        <w:t>37F</w:t>
      </w:r>
      <w:r w:rsidRPr="0094360C">
        <w:rPr>
          <w:rFonts w:cs="Times New Roman"/>
          <w:vertAlign w:val="superscript"/>
        </w:rPr>
        <w:footnoteReference w:id="34"/>
      </w:r>
    </w:p>
    <w:p w14:paraId="72099CC1" w14:textId="77777777" w:rsidR="00E82DBE" w:rsidRPr="0094360C" w:rsidRDefault="00E82DBE" w:rsidP="00E82DBE">
      <w:pPr>
        <w:spacing w:line="240" w:lineRule="auto"/>
        <w:ind w:firstLine="720"/>
        <w:jc w:val="both"/>
        <w:rPr>
          <w:rFonts w:cs="Times New Roman"/>
          <w:vertAlign w:val="superscript"/>
        </w:rPr>
      </w:pPr>
    </w:p>
    <w:p w14:paraId="75CF7B17" w14:textId="37E379A7" w:rsidR="00E82DBE" w:rsidRPr="0094360C" w:rsidRDefault="00E82DBE" w:rsidP="0094360C">
      <w:pPr>
        <w:spacing w:line="240" w:lineRule="auto"/>
        <w:ind w:firstLine="720"/>
        <w:jc w:val="both"/>
        <w:rPr>
          <w:rFonts w:cs="Times New Roman"/>
        </w:rPr>
      </w:pPr>
      <w:r w:rsidRPr="0094360C">
        <w:rPr>
          <w:rFonts w:cs="Times New Roman"/>
        </w:rPr>
        <w:t>Here, the Student’s 202</w:t>
      </w:r>
      <w:r w:rsidR="0094360C" w:rsidRPr="0094360C">
        <w:rPr>
          <w:rFonts w:cs="Times New Roman"/>
        </w:rPr>
        <w:t>0</w:t>
      </w:r>
      <w:r w:rsidRPr="0094360C">
        <w:rPr>
          <w:rFonts w:cs="Times New Roman"/>
        </w:rPr>
        <w:t xml:space="preserve"> IESP mandated that the Student receive </w:t>
      </w:r>
      <w:r w:rsidR="0094360C" w:rsidRPr="0094360C">
        <w:rPr>
          <w:rFonts w:cs="Times New Roman"/>
        </w:rPr>
        <w:t xml:space="preserve">one hour per week of OT services (two thirty-minute sessions per week) (P. Ex. B-8). </w:t>
      </w:r>
      <w:r w:rsidRPr="0094360C">
        <w:rPr>
          <w:rFonts w:cs="Times New Roman"/>
        </w:rPr>
        <w:t>The District did not dispute that no services were implemented by the DOE for the Student for the entire 2023-2024 school year</w:t>
      </w:r>
      <w:r w:rsidR="0094360C" w:rsidRPr="0094360C">
        <w:rPr>
          <w:rFonts w:cs="Times New Roman"/>
        </w:rPr>
        <w:t>. Having found that the District waived the June 1</w:t>
      </w:r>
      <w:r w:rsidR="0094360C" w:rsidRPr="0094360C">
        <w:rPr>
          <w:rFonts w:cs="Times New Roman"/>
          <w:vertAlign w:val="superscript"/>
        </w:rPr>
        <w:t>st</w:t>
      </w:r>
      <w:r w:rsidR="0094360C" w:rsidRPr="0094360C">
        <w:rPr>
          <w:rFonts w:cs="Times New Roman"/>
        </w:rPr>
        <w:t xml:space="preserve"> Affirmative Defense and was on notice that the Student was enrolled in a nonpublic school for the 2023-2024 school year, I find that the Student should have received one hour per week of OT services for that school year. I find </w:t>
      </w:r>
      <w:r w:rsidRPr="0094360C">
        <w:rPr>
          <w:rFonts w:cs="Times New Roman"/>
        </w:rPr>
        <w:t>that the Student is entitled to a bank of compensatory hours of OT</w:t>
      </w:r>
      <w:r w:rsidR="0094360C" w:rsidRPr="0094360C">
        <w:rPr>
          <w:rFonts w:cs="Times New Roman"/>
        </w:rPr>
        <w:t xml:space="preserve"> services </w:t>
      </w:r>
      <w:r w:rsidRPr="0094360C">
        <w:rPr>
          <w:rFonts w:cs="Times New Roman"/>
        </w:rPr>
        <w:t xml:space="preserve">which were not implemented by the District </w:t>
      </w:r>
      <w:r w:rsidR="0094360C" w:rsidRPr="0094360C">
        <w:rPr>
          <w:rFonts w:cs="Times New Roman"/>
        </w:rPr>
        <w:t>for the 2023-2024 10-month school year</w:t>
      </w:r>
      <w:r w:rsidR="00F921C1">
        <w:rPr>
          <w:rFonts w:cs="Times New Roman"/>
        </w:rPr>
        <w:t xml:space="preserve">, totaling 36 hours. </w:t>
      </w:r>
    </w:p>
    <w:p w14:paraId="33B21F9C" w14:textId="77777777" w:rsidR="00E82DBE" w:rsidRPr="0094360C" w:rsidRDefault="00E82DBE" w:rsidP="00E82DBE">
      <w:pPr>
        <w:spacing w:line="240" w:lineRule="auto"/>
        <w:ind w:firstLine="720"/>
        <w:jc w:val="both"/>
        <w:rPr>
          <w:rFonts w:cs="Times New Roman"/>
        </w:rPr>
      </w:pPr>
    </w:p>
    <w:p w14:paraId="5373800F" w14:textId="77777777" w:rsidR="00E82DBE" w:rsidRPr="0094360C" w:rsidRDefault="00E82DBE" w:rsidP="00E82DBE">
      <w:pPr>
        <w:spacing w:line="240" w:lineRule="auto"/>
        <w:ind w:firstLine="720"/>
        <w:jc w:val="both"/>
        <w:rPr>
          <w:rFonts w:cs="Times New Roman"/>
        </w:rPr>
      </w:pPr>
      <w:r w:rsidRPr="0094360C">
        <w:rPr>
          <w:rFonts w:cs="Times New Roman"/>
        </w:rPr>
        <w:t>Although I find that compensatory hours are an appropriate remedy here, I decline to order that any awarded hours be funded at a specific rate. There is no evidence in the record that the Parent has contracted with any provider and/or agency to provide the compensatory services and therefore there can be no analysis as to the appropriateness of any prospective services or the reasonableness of any rate charged by such a provider. Therefore, an award of the compensatory hours to be funded at a reasonable market rate is an appropriate award in this matter.</w:t>
      </w:r>
    </w:p>
    <w:p w14:paraId="1F17FDD8" w14:textId="77777777" w:rsidR="00E82DBE" w:rsidRPr="00E82DBE" w:rsidRDefault="00E82DBE" w:rsidP="00E82DBE">
      <w:pPr>
        <w:spacing w:line="240" w:lineRule="auto"/>
        <w:jc w:val="both"/>
        <w:rPr>
          <w:color w:val="FF0000"/>
        </w:rPr>
      </w:pPr>
    </w:p>
    <w:p w14:paraId="76721312" w14:textId="77777777" w:rsidR="00E82DBE" w:rsidRPr="00846E48" w:rsidRDefault="00E82DBE" w:rsidP="00E82DBE">
      <w:pPr>
        <w:keepNext/>
        <w:keepLines/>
        <w:spacing w:before="240"/>
        <w:outlineLvl w:val="0"/>
        <w:rPr>
          <w:rFonts w:eastAsiaTheme="majorEastAsia" w:cs="Times New Roman"/>
          <w:b/>
          <w:szCs w:val="24"/>
          <w:u w:val="single"/>
        </w:rPr>
      </w:pPr>
      <w:r w:rsidRPr="00846E48">
        <w:rPr>
          <w:rFonts w:eastAsiaTheme="majorEastAsia" w:cs="Times New Roman"/>
          <w:b/>
          <w:szCs w:val="24"/>
          <w:u w:val="single"/>
        </w:rPr>
        <w:t>ORDER</w:t>
      </w:r>
    </w:p>
    <w:p w14:paraId="11527DF2" w14:textId="77777777" w:rsidR="00E82DBE" w:rsidRPr="00846E48" w:rsidRDefault="00E82DBE" w:rsidP="00E82DBE">
      <w:r w:rsidRPr="00846E48">
        <w:tab/>
      </w:r>
    </w:p>
    <w:p w14:paraId="24B66FAD" w14:textId="77777777" w:rsidR="00E82DBE" w:rsidRPr="00846E48" w:rsidRDefault="00E82DBE" w:rsidP="00E82DBE">
      <w:pPr>
        <w:ind w:firstLine="720"/>
        <w:jc w:val="both"/>
      </w:pPr>
      <w:r w:rsidRPr="00846E48">
        <w:t xml:space="preserve">NOW, THEREFORE, IN LIGHT OF THE ABOVE FINDINGS OF FACT, IT IS HEREBY </w:t>
      </w:r>
      <w:r w:rsidRPr="00846E48">
        <w:rPr>
          <w:b/>
          <w:bCs/>
        </w:rPr>
        <w:t>ORDERED THAT</w:t>
      </w:r>
      <w:r w:rsidRPr="00846E48">
        <w:t>:</w:t>
      </w:r>
    </w:p>
    <w:p w14:paraId="05E7139F" w14:textId="77777777" w:rsidR="00E82DBE" w:rsidRPr="00846E48" w:rsidRDefault="00E82DBE" w:rsidP="00E82DBE">
      <w:pPr>
        <w:spacing w:line="240" w:lineRule="auto"/>
        <w:ind w:firstLine="720"/>
        <w:jc w:val="both"/>
      </w:pPr>
    </w:p>
    <w:p w14:paraId="0CE87117" w14:textId="77777777" w:rsidR="00E82DBE" w:rsidRPr="00846E48" w:rsidRDefault="00E82DBE" w:rsidP="00E82DBE">
      <w:pPr>
        <w:numPr>
          <w:ilvl w:val="0"/>
          <w:numId w:val="4"/>
        </w:numPr>
        <w:spacing w:after="160" w:line="240" w:lineRule="auto"/>
        <w:contextualSpacing/>
        <w:jc w:val="both"/>
        <w:rPr>
          <w:rFonts w:cs="Times New Roman"/>
          <w:szCs w:val="24"/>
        </w:rPr>
      </w:pPr>
      <w:r w:rsidRPr="00846E48">
        <w:rPr>
          <w:rFonts w:cs="Times New Roman"/>
          <w:szCs w:val="24"/>
        </w:rPr>
        <w:t>The DOE failed to provide the Student with a FAPE on an equitable basis for the 2023-2024 school year.</w:t>
      </w:r>
    </w:p>
    <w:p w14:paraId="6271F27F" w14:textId="77777777" w:rsidR="00E82DBE" w:rsidRPr="00E82DBE" w:rsidRDefault="00E82DBE" w:rsidP="00E82DBE">
      <w:pPr>
        <w:spacing w:after="160" w:line="240" w:lineRule="auto"/>
        <w:contextualSpacing/>
        <w:jc w:val="both"/>
        <w:rPr>
          <w:rFonts w:cs="Times New Roman"/>
          <w:color w:val="FF0000"/>
          <w:szCs w:val="24"/>
        </w:rPr>
      </w:pPr>
    </w:p>
    <w:p w14:paraId="4870D185" w14:textId="7ECD44E9" w:rsidR="00E82DBE" w:rsidRPr="00FD119F" w:rsidRDefault="00E82DBE" w:rsidP="00E82DBE">
      <w:pPr>
        <w:numPr>
          <w:ilvl w:val="0"/>
          <w:numId w:val="4"/>
        </w:numPr>
        <w:spacing w:after="160" w:line="240" w:lineRule="auto"/>
        <w:contextualSpacing/>
        <w:jc w:val="both"/>
        <w:rPr>
          <w:rFonts w:cs="Times New Roman"/>
          <w:szCs w:val="24"/>
        </w:rPr>
      </w:pPr>
      <w:bookmarkStart w:id="1" w:name="_Hlk175647497"/>
      <w:r w:rsidRPr="00FD119F">
        <w:rPr>
          <w:rFonts w:cs="Times New Roman"/>
          <w:szCs w:val="24"/>
        </w:rPr>
        <w:t xml:space="preserve">The DOE shall reimburse and/or directly fund the Provider Agency for the administration of </w:t>
      </w:r>
      <w:r w:rsidR="00846E48" w:rsidRPr="00FD119F">
        <w:rPr>
          <w:rFonts w:cs="Times New Roman"/>
          <w:szCs w:val="24"/>
        </w:rPr>
        <w:t>up to five (5)</w:t>
      </w:r>
      <w:r w:rsidRPr="00FD119F">
        <w:rPr>
          <w:rFonts w:cs="Times New Roman"/>
          <w:szCs w:val="24"/>
        </w:rPr>
        <w:t xml:space="preserve"> hours per week of Special Education Teacher Support Services (SETSS) administered to the Student from </w:t>
      </w:r>
      <w:r w:rsidR="00846E48" w:rsidRPr="00FD119F">
        <w:rPr>
          <w:rFonts w:cs="Times New Roman"/>
          <w:szCs w:val="24"/>
        </w:rPr>
        <w:t>September 1, 2023,</w:t>
      </w:r>
      <w:r w:rsidRPr="00FD119F">
        <w:rPr>
          <w:rFonts w:cs="Times New Roman"/>
          <w:szCs w:val="24"/>
        </w:rPr>
        <w:t xml:space="preserve"> through the end of the 2023-2024 school year, at a rate not to exceed $19</w:t>
      </w:r>
      <w:r w:rsidR="00FD119F" w:rsidRPr="00FD119F">
        <w:rPr>
          <w:rFonts w:cs="Times New Roman"/>
          <w:szCs w:val="24"/>
        </w:rPr>
        <w:t>5</w:t>
      </w:r>
      <w:r w:rsidRPr="00FD119F">
        <w:rPr>
          <w:rFonts w:cs="Times New Roman"/>
          <w:szCs w:val="24"/>
        </w:rPr>
        <w:t xml:space="preserve">.00 per hour. </w:t>
      </w:r>
    </w:p>
    <w:p w14:paraId="2B22BDEC" w14:textId="77777777" w:rsidR="00E82DBE" w:rsidRPr="00FD119F" w:rsidRDefault="00E82DBE" w:rsidP="00E82DBE">
      <w:pPr>
        <w:numPr>
          <w:ilvl w:val="1"/>
          <w:numId w:val="4"/>
        </w:numPr>
        <w:spacing w:after="160" w:line="240" w:lineRule="auto"/>
        <w:contextualSpacing/>
        <w:jc w:val="both"/>
        <w:rPr>
          <w:rFonts w:cs="Times New Roman"/>
          <w:szCs w:val="24"/>
        </w:rPr>
      </w:pPr>
      <w:r w:rsidRPr="00FD119F">
        <w:rPr>
          <w:rFonts w:cs="Times New Roman"/>
          <w:szCs w:val="24"/>
        </w:rPr>
        <w:t xml:space="preserve">Such payment shall be made within forty-five (45) days of submission of an affidavit from the Provider Agency stating the dates of services and total hours provided. </w:t>
      </w:r>
    </w:p>
    <w:p w14:paraId="6EDCE212" w14:textId="77777777" w:rsidR="00E82DBE" w:rsidRPr="00E82DBE" w:rsidRDefault="00E82DBE" w:rsidP="00E82DBE">
      <w:pPr>
        <w:spacing w:after="160" w:line="240" w:lineRule="auto"/>
        <w:contextualSpacing/>
        <w:jc w:val="both"/>
        <w:rPr>
          <w:rFonts w:cs="Times New Roman"/>
          <w:color w:val="FF0000"/>
          <w:szCs w:val="24"/>
        </w:rPr>
      </w:pPr>
    </w:p>
    <w:bookmarkEnd w:id="1"/>
    <w:p w14:paraId="21953029" w14:textId="77777777" w:rsidR="00E82DBE" w:rsidRPr="00E82DBE" w:rsidRDefault="00E82DBE" w:rsidP="00E82DBE">
      <w:pPr>
        <w:spacing w:line="240" w:lineRule="auto"/>
        <w:contextualSpacing/>
        <w:jc w:val="both"/>
        <w:rPr>
          <w:rFonts w:cs="Times New Roman"/>
          <w:color w:val="FF0000"/>
          <w:szCs w:val="24"/>
        </w:rPr>
      </w:pPr>
    </w:p>
    <w:p w14:paraId="73654EBD" w14:textId="15B50398" w:rsidR="00E82DBE" w:rsidRPr="001E4726" w:rsidRDefault="00E82DBE" w:rsidP="00E82DBE">
      <w:pPr>
        <w:numPr>
          <w:ilvl w:val="0"/>
          <w:numId w:val="4"/>
        </w:numPr>
        <w:spacing w:line="240" w:lineRule="auto"/>
        <w:contextualSpacing/>
        <w:jc w:val="both"/>
        <w:rPr>
          <w:rFonts w:cs="Times New Roman"/>
          <w:szCs w:val="24"/>
        </w:rPr>
      </w:pPr>
      <w:r w:rsidRPr="001E4726">
        <w:rPr>
          <w:rFonts w:cs="Times New Roman"/>
          <w:szCs w:val="24"/>
        </w:rPr>
        <w:t xml:space="preserve">The DOE shall fund, as compensatory services, a bank of </w:t>
      </w:r>
      <w:r w:rsidR="00F921C1">
        <w:rPr>
          <w:rFonts w:cs="Times New Roman"/>
          <w:szCs w:val="24"/>
        </w:rPr>
        <w:t xml:space="preserve">thirty-six (36) hours of </w:t>
      </w:r>
      <w:r w:rsidRPr="001E4726">
        <w:rPr>
          <w:rFonts w:cs="Times New Roman"/>
          <w:szCs w:val="24"/>
        </w:rPr>
        <w:t>O</w:t>
      </w:r>
      <w:r w:rsidR="00FD119F" w:rsidRPr="001E4726">
        <w:rPr>
          <w:rFonts w:cs="Times New Roman"/>
          <w:szCs w:val="24"/>
        </w:rPr>
        <w:t xml:space="preserve">ccupational Therapy (OT) </w:t>
      </w:r>
      <w:r w:rsidRPr="001E4726">
        <w:rPr>
          <w:rFonts w:cs="Times New Roman"/>
          <w:szCs w:val="24"/>
        </w:rPr>
        <w:t>services for the Student.</w:t>
      </w:r>
    </w:p>
    <w:p w14:paraId="0C5F9A1A" w14:textId="04A9647C" w:rsidR="00E82DBE" w:rsidRPr="001E4726" w:rsidRDefault="00E82DBE" w:rsidP="00E82DBE">
      <w:pPr>
        <w:numPr>
          <w:ilvl w:val="1"/>
          <w:numId w:val="4"/>
        </w:numPr>
        <w:spacing w:line="240" w:lineRule="auto"/>
        <w:contextualSpacing/>
        <w:jc w:val="both"/>
        <w:rPr>
          <w:rFonts w:cs="Times New Roman"/>
          <w:szCs w:val="24"/>
        </w:rPr>
      </w:pPr>
      <w:r w:rsidRPr="001E4726">
        <w:rPr>
          <w:rFonts w:cs="Times New Roman"/>
          <w:szCs w:val="24"/>
        </w:rPr>
        <w:t>The bank of compensatory services shall be administered by a qualified provider of the Parent’s choosing and shall be funded at a reasonable market rate.</w:t>
      </w:r>
    </w:p>
    <w:p w14:paraId="4AA77BEF" w14:textId="77777777" w:rsidR="00E82DBE" w:rsidRPr="001E4726" w:rsidRDefault="00E82DBE" w:rsidP="00E82DBE">
      <w:pPr>
        <w:spacing w:line="240" w:lineRule="auto"/>
        <w:ind w:left="720"/>
        <w:contextualSpacing/>
        <w:jc w:val="both"/>
        <w:rPr>
          <w:rFonts w:cs="Times New Roman"/>
          <w:szCs w:val="24"/>
        </w:rPr>
      </w:pPr>
    </w:p>
    <w:p w14:paraId="4002220A" w14:textId="77777777" w:rsidR="00E82DBE" w:rsidRPr="001E4726" w:rsidRDefault="00E82DBE" w:rsidP="00E82DBE">
      <w:pPr>
        <w:spacing w:line="240" w:lineRule="auto"/>
        <w:jc w:val="both"/>
        <w:rPr>
          <w:rFonts w:cs="Times New Roman"/>
          <w:i/>
          <w:iCs/>
          <w:szCs w:val="24"/>
        </w:rPr>
      </w:pPr>
    </w:p>
    <w:p w14:paraId="2CE0A9A8" w14:textId="75951A4D" w:rsidR="00E82DBE" w:rsidRPr="001E4726" w:rsidRDefault="00E82DBE" w:rsidP="00E82DBE">
      <w:pPr>
        <w:spacing w:line="480" w:lineRule="auto"/>
        <w:rPr>
          <w:rFonts w:cs="Times New Roman"/>
        </w:rPr>
      </w:pPr>
      <w:r w:rsidRPr="001E4726">
        <w:rPr>
          <w:rFonts w:cs="Times New Roman"/>
          <w:noProof/>
          <w:szCs w:val="24"/>
        </w:rPr>
        <w:drawing>
          <wp:anchor distT="0" distB="0" distL="114300" distR="114300" simplePos="0" relativeHeight="251659264" behindDoc="1" locked="0" layoutInCell="1" allowOverlap="1" wp14:anchorId="143BC068" wp14:editId="53512401">
            <wp:simplePos x="0" y="0"/>
            <wp:positionH relativeFrom="column">
              <wp:posOffset>3028493</wp:posOffset>
            </wp:positionH>
            <wp:positionV relativeFrom="paragraph">
              <wp:posOffset>7010</wp:posOffset>
            </wp:positionV>
            <wp:extent cx="1739265" cy="738505"/>
            <wp:effectExtent l="0" t="0" r="0" b="444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65" cy="738505"/>
                    </a:xfrm>
                    <a:prstGeom prst="rect">
                      <a:avLst/>
                    </a:prstGeom>
                  </pic:spPr>
                </pic:pic>
              </a:graphicData>
            </a:graphic>
          </wp:anchor>
        </w:drawing>
      </w:r>
      <w:r w:rsidRPr="001E4726">
        <w:rPr>
          <w:rFonts w:cs="Times New Roman"/>
        </w:rPr>
        <w:t>Dated: December 1</w:t>
      </w:r>
      <w:r w:rsidR="00F921C1">
        <w:rPr>
          <w:rFonts w:cs="Times New Roman"/>
        </w:rPr>
        <w:t>7</w:t>
      </w:r>
      <w:r w:rsidRPr="001E4726">
        <w:rPr>
          <w:rFonts w:cs="Times New Roman"/>
        </w:rPr>
        <w:t>, 2024</w:t>
      </w:r>
    </w:p>
    <w:p w14:paraId="41D96B92" w14:textId="77777777" w:rsidR="00E82DBE" w:rsidRPr="001E4726" w:rsidRDefault="00E82DBE" w:rsidP="00E82DBE">
      <w:pPr>
        <w:spacing w:line="240" w:lineRule="auto"/>
        <w:ind w:left="432" w:firstLine="720"/>
        <w:rPr>
          <w:rFonts w:cs="Times New Roman"/>
          <w:szCs w:val="24"/>
        </w:rPr>
      </w:pPr>
    </w:p>
    <w:p w14:paraId="4D009C33" w14:textId="77777777" w:rsidR="00E82DBE" w:rsidRPr="001E4726" w:rsidRDefault="00E82DBE" w:rsidP="00E82DBE">
      <w:pPr>
        <w:rPr>
          <w:rFonts w:ascii="Freestyle Script" w:hAnsi="Freestyle Script"/>
          <w:sz w:val="36"/>
          <w:szCs w:val="36"/>
          <w:u w:val="single"/>
        </w:rPr>
      </w:pPr>
      <w:r w:rsidRPr="001E4726">
        <w:rPr>
          <w:rFonts w:cs="Times New Roman"/>
          <w:szCs w:val="24"/>
        </w:rPr>
        <w:tab/>
      </w:r>
      <w:r w:rsidRPr="001E4726">
        <w:rPr>
          <w:rFonts w:cs="Times New Roman"/>
          <w:szCs w:val="24"/>
        </w:rPr>
        <w:tab/>
      </w:r>
      <w:r w:rsidRPr="001E4726">
        <w:rPr>
          <w:rFonts w:cs="Times New Roman"/>
          <w:szCs w:val="24"/>
        </w:rPr>
        <w:tab/>
      </w:r>
      <w:r w:rsidRPr="001E4726">
        <w:rPr>
          <w:rFonts w:cs="Times New Roman"/>
          <w:szCs w:val="24"/>
        </w:rPr>
        <w:tab/>
      </w:r>
      <w:r w:rsidRPr="001E4726">
        <w:rPr>
          <w:rFonts w:cs="Times New Roman"/>
          <w:szCs w:val="24"/>
        </w:rPr>
        <w:tab/>
      </w:r>
      <w:r w:rsidRPr="001E4726">
        <w:rPr>
          <w:rFonts w:cs="Times New Roman"/>
          <w:szCs w:val="24"/>
        </w:rPr>
        <w:tab/>
      </w:r>
      <w:r w:rsidRPr="001E4726">
        <w:rPr>
          <w:rFonts w:cs="Times New Roman"/>
          <w:szCs w:val="24"/>
        </w:rPr>
        <w:tab/>
        <w:t>_____________________</w:t>
      </w:r>
      <w:r w:rsidRPr="001E4726">
        <w:rPr>
          <w:rFonts w:cs="Times New Roman"/>
          <w:szCs w:val="24"/>
        </w:rPr>
        <w:tab/>
      </w:r>
    </w:p>
    <w:p w14:paraId="2B753A67" w14:textId="77777777" w:rsidR="00E82DBE" w:rsidRPr="001E4726" w:rsidRDefault="00E82DBE" w:rsidP="00E82DBE">
      <w:pPr>
        <w:spacing w:line="240" w:lineRule="auto"/>
        <w:ind w:left="4320" w:firstLine="720"/>
        <w:jc w:val="both"/>
        <w:rPr>
          <w:rFonts w:cs="Times New Roman"/>
        </w:rPr>
      </w:pPr>
      <w:r w:rsidRPr="001E4726">
        <w:rPr>
          <w:rFonts w:cs="Times New Roman"/>
        </w:rPr>
        <w:t xml:space="preserve">Hannah Schwager, Esq.  </w:t>
      </w:r>
    </w:p>
    <w:p w14:paraId="4B4E4E25" w14:textId="77777777" w:rsidR="00E82DBE" w:rsidRPr="001E4726" w:rsidRDefault="00E82DBE" w:rsidP="00E82DBE">
      <w:pPr>
        <w:spacing w:line="240" w:lineRule="auto"/>
        <w:ind w:left="4752" w:firstLine="288"/>
        <w:jc w:val="both"/>
        <w:rPr>
          <w:rFonts w:cs="Times New Roman"/>
          <w:szCs w:val="24"/>
        </w:rPr>
      </w:pPr>
      <w:r w:rsidRPr="001E4726">
        <w:rPr>
          <w:rFonts w:cs="Times New Roman"/>
          <w:szCs w:val="24"/>
        </w:rPr>
        <w:t>Impartial Hearing Officer</w:t>
      </w:r>
    </w:p>
    <w:p w14:paraId="1618BB49" w14:textId="77777777" w:rsidR="00E82DBE" w:rsidRPr="001E4726" w:rsidRDefault="00E82DBE" w:rsidP="00E82DBE"/>
    <w:p w14:paraId="33D251CF" w14:textId="4DD58AD4" w:rsidR="00D15DEC" w:rsidRPr="001E4726" w:rsidRDefault="00D15DEC" w:rsidP="00E82DBE">
      <w:pPr>
        <w:spacing w:line="240" w:lineRule="auto"/>
        <w:jc w:val="both"/>
      </w:pPr>
    </w:p>
    <w:p w14:paraId="21468E84" w14:textId="77777777" w:rsidR="00DA05D7" w:rsidRPr="004049B3" w:rsidRDefault="00DA05D7" w:rsidP="00D15DEC">
      <w:pPr>
        <w:rPr>
          <w:color w:val="FF0000"/>
        </w:rPr>
      </w:pPr>
    </w:p>
    <w:p w14:paraId="7638A326" w14:textId="77777777" w:rsidR="00DA05D7" w:rsidRPr="004049B3" w:rsidRDefault="00DA05D7" w:rsidP="00D15DEC">
      <w:pPr>
        <w:rPr>
          <w:color w:val="FF0000"/>
        </w:rPr>
      </w:pPr>
    </w:p>
    <w:p w14:paraId="7685E9E2" w14:textId="77777777" w:rsidR="00DA05D7" w:rsidRPr="004049B3" w:rsidRDefault="00DA05D7" w:rsidP="00D15DEC">
      <w:pPr>
        <w:rPr>
          <w:color w:val="FF0000"/>
        </w:rPr>
      </w:pPr>
    </w:p>
    <w:p w14:paraId="3108B26F" w14:textId="77777777" w:rsidR="00DA05D7" w:rsidRPr="004049B3" w:rsidRDefault="00DA05D7" w:rsidP="00D15DEC">
      <w:pPr>
        <w:rPr>
          <w:color w:val="FF0000"/>
        </w:rPr>
      </w:pPr>
    </w:p>
    <w:p w14:paraId="09F9BE47" w14:textId="77777777" w:rsidR="00DA05D7" w:rsidRPr="004049B3" w:rsidRDefault="00DA05D7" w:rsidP="00D15DEC">
      <w:pPr>
        <w:rPr>
          <w:color w:val="FF0000"/>
        </w:rPr>
      </w:pPr>
    </w:p>
    <w:p w14:paraId="5FBE69EC" w14:textId="77777777" w:rsidR="00DA05D7" w:rsidRPr="004049B3" w:rsidRDefault="00DA05D7" w:rsidP="00D15DEC">
      <w:pPr>
        <w:rPr>
          <w:color w:val="FF0000"/>
        </w:rPr>
      </w:pPr>
    </w:p>
    <w:p w14:paraId="3B466008" w14:textId="77777777" w:rsidR="00DA05D7" w:rsidRPr="004049B3" w:rsidRDefault="00DA05D7" w:rsidP="00D15DEC">
      <w:pPr>
        <w:rPr>
          <w:color w:val="FF0000"/>
        </w:rPr>
      </w:pPr>
    </w:p>
    <w:p w14:paraId="23051A62" w14:textId="77777777" w:rsidR="00DA05D7" w:rsidRPr="004049B3" w:rsidRDefault="00DA05D7" w:rsidP="00D15DEC">
      <w:pPr>
        <w:rPr>
          <w:color w:val="FF0000"/>
        </w:rPr>
      </w:pPr>
    </w:p>
    <w:p w14:paraId="2E35CE72" w14:textId="77777777" w:rsidR="00DA05D7" w:rsidRPr="004049B3" w:rsidRDefault="00DA05D7" w:rsidP="00D15DEC">
      <w:pPr>
        <w:rPr>
          <w:color w:val="FF0000"/>
        </w:rPr>
      </w:pPr>
    </w:p>
    <w:p w14:paraId="1A467A78" w14:textId="77777777" w:rsidR="00DA05D7" w:rsidRPr="004049B3" w:rsidRDefault="00DA05D7" w:rsidP="00D15DEC">
      <w:pPr>
        <w:rPr>
          <w:color w:val="FF0000"/>
        </w:rPr>
      </w:pPr>
    </w:p>
    <w:p w14:paraId="4382C959" w14:textId="77777777" w:rsidR="000437C7" w:rsidRPr="004049B3" w:rsidRDefault="000437C7" w:rsidP="00D15DEC">
      <w:pPr>
        <w:rPr>
          <w:color w:val="FF0000"/>
        </w:rPr>
      </w:pPr>
    </w:p>
    <w:p w14:paraId="5F4159D8" w14:textId="77777777" w:rsidR="000437C7" w:rsidRPr="004049B3" w:rsidRDefault="000437C7" w:rsidP="00D15DEC">
      <w:pPr>
        <w:rPr>
          <w:color w:val="FF0000"/>
        </w:rPr>
      </w:pPr>
    </w:p>
    <w:p w14:paraId="20FC5FD2" w14:textId="77777777" w:rsidR="000437C7" w:rsidRDefault="000437C7" w:rsidP="00D15DEC">
      <w:pPr>
        <w:rPr>
          <w:color w:val="FF0000"/>
        </w:rPr>
      </w:pPr>
    </w:p>
    <w:p w14:paraId="5466CB89" w14:textId="77777777" w:rsidR="0039681A" w:rsidRDefault="0039681A" w:rsidP="00D15DEC">
      <w:pPr>
        <w:rPr>
          <w:color w:val="FF0000"/>
        </w:rPr>
      </w:pPr>
    </w:p>
    <w:p w14:paraId="07E2D67C" w14:textId="77777777" w:rsidR="0039681A" w:rsidRDefault="0039681A" w:rsidP="00D15DEC">
      <w:pPr>
        <w:rPr>
          <w:color w:val="FF0000"/>
        </w:rPr>
      </w:pPr>
    </w:p>
    <w:p w14:paraId="6FB8B828" w14:textId="77777777" w:rsidR="0039681A" w:rsidRDefault="0039681A" w:rsidP="00D15DEC">
      <w:pPr>
        <w:rPr>
          <w:color w:val="FF0000"/>
        </w:rPr>
      </w:pPr>
    </w:p>
    <w:p w14:paraId="202B587F" w14:textId="77777777" w:rsidR="0039681A" w:rsidRDefault="0039681A" w:rsidP="00D15DEC">
      <w:pPr>
        <w:rPr>
          <w:color w:val="FF0000"/>
        </w:rPr>
      </w:pPr>
    </w:p>
    <w:p w14:paraId="61057B64" w14:textId="77777777" w:rsidR="00F921C1" w:rsidRDefault="00F921C1" w:rsidP="00D15DEC">
      <w:pPr>
        <w:rPr>
          <w:color w:val="FF0000"/>
        </w:rPr>
      </w:pPr>
    </w:p>
    <w:p w14:paraId="1507C92D" w14:textId="77777777" w:rsidR="00F921C1" w:rsidRDefault="00F921C1" w:rsidP="00D15DEC">
      <w:pPr>
        <w:rPr>
          <w:color w:val="FF0000"/>
        </w:rPr>
      </w:pPr>
    </w:p>
    <w:p w14:paraId="0C145EE2" w14:textId="77777777" w:rsidR="00F921C1" w:rsidRDefault="00F921C1" w:rsidP="00D15DEC">
      <w:pPr>
        <w:rPr>
          <w:color w:val="FF0000"/>
        </w:rPr>
      </w:pPr>
    </w:p>
    <w:p w14:paraId="0A764BC5" w14:textId="77777777" w:rsidR="00F921C1" w:rsidRDefault="00F921C1" w:rsidP="00D15DEC">
      <w:pPr>
        <w:rPr>
          <w:color w:val="FF0000"/>
        </w:rPr>
      </w:pPr>
    </w:p>
    <w:p w14:paraId="414E7652" w14:textId="77777777" w:rsidR="00F921C1" w:rsidRDefault="00F921C1" w:rsidP="00D15DEC">
      <w:pPr>
        <w:rPr>
          <w:color w:val="FF0000"/>
        </w:rPr>
      </w:pPr>
    </w:p>
    <w:p w14:paraId="6BD5534C" w14:textId="77777777" w:rsidR="00F921C1" w:rsidRDefault="00F921C1" w:rsidP="00D15DEC">
      <w:pPr>
        <w:rPr>
          <w:color w:val="FF0000"/>
        </w:rPr>
      </w:pPr>
    </w:p>
    <w:p w14:paraId="2437C513" w14:textId="77777777" w:rsidR="00F921C1" w:rsidRDefault="00F921C1" w:rsidP="00D15DEC">
      <w:pPr>
        <w:rPr>
          <w:color w:val="FF0000"/>
        </w:rPr>
      </w:pPr>
    </w:p>
    <w:p w14:paraId="58DD4037" w14:textId="77777777" w:rsidR="00F921C1" w:rsidRDefault="00F921C1" w:rsidP="00D15DEC">
      <w:pPr>
        <w:rPr>
          <w:color w:val="FF0000"/>
        </w:rPr>
      </w:pPr>
    </w:p>
    <w:p w14:paraId="732B0E75" w14:textId="77777777" w:rsidR="00F921C1" w:rsidRDefault="00F921C1" w:rsidP="00D15DEC">
      <w:pPr>
        <w:rPr>
          <w:color w:val="FF0000"/>
        </w:rPr>
      </w:pPr>
    </w:p>
    <w:p w14:paraId="2188860F" w14:textId="77777777" w:rsidR="00F921C1" w:rsidRDefault="00F921C1" w:rsidP="00D15DEC">
      <w:pPr>
        <w:rPr>
          <w:color w:val="FF0000"/>
        </w:rPr>
      </w:pPr>
    </w:p>
    <w:p w14:paraId="1A0ACA8F" w14:textId="77777777" w:rsidR="0039681A" w:rsidRPr="004049B3" w:rsidRDefault="0039681A" w:rsidP="00D15DEC">
      <w:pPr>
        <w:rPr>
          <w:color w:val="FF0000"/>
        </w:rPr>
      </w:pPr>
    </w:p>
    <w:p w14:paraId="25E67894" w14:textId="77777777" w:rsidR="000437C7" w:rsidRPr="004049B3" w:rsidRDefault="000437C7" w:rsidP="00D15DEC">
      <w:pPr>
        <w:rPr>
          <w:color w:val="FF0000"/>
        </w:rPr>
      </w:pPr>
    </w:p>
    <w:p w14:paraId="5D51B7D0" w14:textId="25C0BEA9" w:rsidR="00A37CBE" w:rsidRPr="00F921C1" w:rsidRDefault="00A37CBE" w:rsidP="007F0233">
      <w:pPr>
        <w:pStyle w:val="NoSpacing"/>
        <w:jc w:val="center"/>
        <w:rPr>
          <w:b/>
          <w:bCs/>
          <w:szCs w:val="24"/>
          <w:u w:val="single"/>
        </w:rPr>
      </w:pPr>
      <w:r w:rsidRPr="00F921C1">
        <w:rPr>
          <w:b/>
          <w:bCs/>
          <w:u w:val="single"/>
        </w:rPr>
        <w:lastRenderedPageBreak/>
        <w:t>NOTICE OF RIGHT TO APPEAL</w:t>
      </w:r>
    </w:p>
    <w:p w14:paraId="5E2A03DF" w14:textId="77777777" w:rsidR="00A37CBE" w:rsidRPr="00F921C1" w:rsidRDefault="00A37CBE" w:rsidP="00A37CBE">
      <w:pPr>
        <w:pStyle w:val="NoSpacing"/>
      </w:pPr>
    </w:p>
    <w:p w14:paraId="2305911D" w14:textId="5BB661E4" w:rsidR="00A37CBE" w:rsidRPr="00F921C1" w:rsidRDefault="00A37CBE" w:rsidP="00A37CBE">
      <w:pPr>
        <w:pStyle w:val="NoSpacing"/>
      </w:pPr>
      <w:r w:rsidRPr="00F921C1">
        <w:t xml:space="preserve">Within 40 days of the date of this decision, the parent and/or the Public School District has a right to appeal the decision to a State Review Officer (SRO) of the New York State Education Department under </w:t>
      </w:r>
      <w:r w:rsidR="004B5E22" w:rsidRPr="00F921C1">
        <w:t>S</w:t>
      </w:r>
      <w:r w:rsidRPr="00F921C1">
        <w:t xml:space="preserve">ection 4404 of the Education Law and the Individuals with Disabilities Education Act. </w:t>
      </w:r>
    </w:p>
    <w:p w14:paraId="6E929A1D" w14:textId="77777777" w:rsidR="00A37CBE" w:rsidRPr="00F921C1" w:rsidRDefault="00A37CBE" w:rsidP="00A37CBE">
      <w:pPr>
        <w:pStyle w:val="NoSpacing"/>
      </w:pPr>
    </w:p>
    <w:p w14:paraId="279CC441" w14:textId="012B20B6" w:rsidR="00A37CBE" w:rsidRPr="00F921C1" w:rsidRDefault="00A37CBE" w:rsidP="00A37CBE">
      <w:pPr>
        <w:pStyle w:val="NoSpacing"/>
      </w:pPr>
      <w:r w:rsidRPr="00F921C1">
        <w:t xml:space="preserve">If either party plans to appeal the decision, a notice of intention to seek review shall be personally served upon the opposing party no later than 25 days after the date of the decision sought to be reviewed. </w:t>
      </w:r>
    </w:p>
    <w:p w14:paraId="1046A4C0" w14:textId="77777777" w:rsidR="00A37CBE" w:rsidRPr="00F921C1" w:rsidRDefault="00A37CBE" w:rsidP="00A37CBE">
      <w:pPr>
        <w:pStyle w:val="NoSpacing"/>
      </w:pPr>
    </w:p>
    <w:p w14:paraId="6F47EF3C" w14:textId="58BA641D" w:rsidR="00D44086" w:rsidRPr="00F921C1" w:rsidRDefault="00A37CBE" w:rsidP="00A37CBE">
      <w:pPr>
        <w:pStyle w:val="NoSpacing"/>
      </w:pPr>
      <w:r w:rsidRPr="00F921C1">
        <w:t>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http://www.sro.nysed.gov.</w:t>
      </w:r>
    </w:p>
    <w:p w14:paraId="7E9DE1EB" w14:textId="0CE36DFD" w:rsidR="00D44086" w:rsidRPr="004049B3" w:rsidRDefault="00D44086" w:rsidP="00A37CBE">
      <w:pPr>
        <w:pStyle w:val="NoSpacing"/>
        <w:rPr>
          <w:color w:val="FF0000"/>
        </w:rPr>
      </w:pPr>
    </w:p>
    <w:p w14:paraId="0BFF2C93" w14:textId="575DB694" w:rsidR="00A37CBE" w:rsidRPr="004049B3" w:rsidRDefault="00A37CBE" w:rsidP="00A37CBE">
      <w:pPr>
        <w:pStyle w:val="NoSpacing"/>
        <w:rPr>
          <w:color w:val="FF0000"/>
        </w:rPr>
      </w:pPr>
    </w:p>
    <w:p w14:paraId="413227ED" w14:textId="3C3298F9" w:rsidR="00A37CBE" w:rsidRPr="004049B3" w:rsidRDefault="00A37CBE" w:rsidP="00A37CBE">
      <w:pPr>
        <w:pStyle w:val="NoSpacing"/>
        <w:rPr>
          <w:color w:val="FF0000"/>
        </w:rPr>
      </w:pPr>
    </w:p>
    <w:p w14:paraId="7C23552E" w14:textId="7287C5E9" w:rsidR="00A37CBE" w:rsidRPr="004049B3" w:rsidRDefault="00A37CBE" w:rsidP="00A37CBE">
      <w:pPr>
        <w:pStyle w:val="NoSpacing"/>
        <w:rPr>
          <w:color w:val="FF0000"/>
        </w:rPr>
      </w:pPr>
    </w:p>
    <w:p w14:paraId="5DC073C1" w14:textId="3B25938C" w:rsidR="00A37CBE" w:rsidRPr="004049B3" w:rsidRDefault="00A37CBE" w:rsidP="00A37CBE">
      <w:pPr>
        <w:pStyle w:val="NoSpacing"/>
        <w:rPr>
          <w:color w:val="FF0000"/>
        </w:rPr>
      </w:pPr>
    </w:p>
    <w:p w14:paraId="2B9A32EF" w14:textId="55A0C2D4" w:rsidR="00A37CBE" w:rsidRPr="004049B3" w:rsidRDefault="00A37CBE" w:rsidP="00A37CBE">
      <w:pPr>
        <w:pStyle w:val="NoSpacing"/>
        <w:rPr>
          <w:color w:val="FF0000"/>
        </w:rPr>
      </w:pPr>
    </w:p>
    <w:p w14:paraId="135F2E36" w14:textId="457C965F" w:rsidR="00A37CBE" w:rsidRPr="004049B3" w:rsidRDefault="00A37CBE" w:rsidP="00A37CBE">
      <w:pPr>
        <w:pStyle w:val="NoSpacing"/>
        <w:rPr>
          <w:color w:val="FF0000"/>
        </w:rPr>
      </w:pPr>
    </w:p>
    <w:p w14:paraId="57A1A2A9" w14:textId="6EEA19AA" w:rsidR="00A37CBE" w:rsidRPr="004049B3" w:rsidRDefault="00A37CBE" w:rsidP="00A37CBE">
      <w:pPr>
        <w:pStyle w:val="NoSpacing"/>
        <w:rPr>
          <w:color w:val="FF0000"/>
        </w:rPr>
      </w:pPr>
    </w:p>
    <w:p w14:paraId="25E77AA8" w14:textId="3C594816" w:rsidR="00A37CBE" w:rsidRPr="004049B3" w:rsidRDefault="00A37CBE" w:rsidP="00A37CBE">
      <w:pPr>
        <w:pStyle w:val="NoSpacing"/>
        <w:rPr>
          <w:color w:val="FF0000"/>
        </w:rPr>
      </w:pPr>
    </w:p>
    <w:p w14:paraId="482F51A7" w14:textId="56158FB8" w:rsidR="00837073" w:rsidRPr="004049B3" w:rsidRDefault="00837073">
      <w:pPr>
        <w:rPr>
          <w:color w:val="FF0000"/>
        </w:rPr>
      </w:pPr>
      <w:r w:rsidRPr="004049B3">
        <w:rPr>
          <w:color w:val="FF0000"/>
        </w:rPr>
        <w:br w:type="page"/>
      </w:r>
    </w:p>
    <w:p w14:paraId="6FBEC15B" w14:textId="34A41AAB" w:rsidR="00293B6B" w:rsidRPr="0032129C" w:rsidRDefault="0015569C" w:rsidP="00CF0114">
      <w:pPr>
        <w:pStyle w:val="MainHeading"/>
        <w:jc w:val="center"/>
        <w:rPr>
          <w:rFonts w:ascii="Times New Roman" w:hAnsi="Times New Roman" w:cs="Times New Roman"/>
          <w:color w:val="auto"/>
        </w:rPr>
      </w:pPr>
      <w:r w:rsidRPr="0032129C">
        <w:rPr>
          <w:rFonts w:ascii="Times New Roman" w:hAnsi="Times New Roman" w:cs="Times New Roman"/>
          <w:color w:val="auto"/>
        </w:rPr>
        <w:lastRenderedPageBreak/>
        <w:t>APPENDIX A</w:t>
      </w:r>
      <w:r w:rsidR="00C503F4" w:rsidRPr="0032129C">
        <w:rPr>
          <w:rFonts w:ascii="Times New Roman" w:hAnsi="Times New Roman" w:cs="Times New Roman"/>
          <w:color w:val="auto"/>
        </w:rPr>
        <w:br/>
      </w:r>
      <w:bookmarkStart w:id="2" w:name="_Hlk108792581"/>
    </w:p>
    <w:p w14:paraId="58C8E375" w14:textId="4995D100" w:rsidR="00954E67" w:rsidRPr="0032129C" w:rsidRDefault="00954E67" w:rsidP="00293B6B">
      <w:pPr>
        <w:pStyle w:val="NoSpacing"/>
        <w:jc w:val="center"/>
        <w:rPr>
          <w:b/>
          <w:bCs/>
          <w:u w:val="single"/>
        </w:rPr>
      </w:pPr>
      <w:r w:rsidRPr="0032129C">
        <w:rPr>
          <w:b/>
          <w:bCs/>
          <w:u w:val="single"/>
        </w:rPr>
        <w:t>DISTRICT EVIDENCE</w:t>
      </w:r>
    </w:p>
    <w:p w14:paraId="2694A7F2" w14:textId="36C7EA8F" w:rsidR="00954E67" w:rsidRPr="004049B3" w:rsidRDefault="00954E67" w:rsidP="0005782A">
      <w:pPr>
        <w:pStyle w:val="NoSpacing"/>
        <w:rPr>
          <w:b/>
          <w:bCs/>
          <w:color w:val="FF0000"/>
          <w:u w:val="single"/>
        </w:rPr>
      </w:pPr>
    </w:p>
    <w:p w14:paraId="23E042BF" w14:textId="4578417C" w:rsidR="00954E67" w:rsidRPr="004049B3" w:rsidRDefault="0032129C" w:rsidP="0032129C">
      <w:pPr>
        <w:pStyle w:val="NoSpacing"/>
        <w:jc w:val="center"/>
        <w:rPr>
          <w:b/>
          <w:bCs/>
          <w:color w:val="FF0000"/>
          <w:u w:val="single"/>
        </w:rPr>
      </w:pPr>
      <w:r>
        <w:rPr>
          <w:noProof/>
        </w:rPr>
        <w:drawing>
          <wp:inline distT="0" distB="0" distL="0" distR="0" wp14:anchorId="31751182" wp14:editId="1E726324">
            <wp:extent cx="6012611" cy="1438275"/>
            <wp:effectExtent l="0" t="0" r="7620" b="0"/>
            <wp:docPr id="38489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94258" name=""/>
                    <pic:cNvPicPr/>
                  </pic:nvPicPr>
                  <pic:blipFill>
                    <a:blip r:embed="rId13"/>
                    <a:stretch>
                      <a:fillRect/>
                    </a:stretch>
                  </pic:blipFill>
                  <pic:spPr>
                    <a:xfrm>
                      <a:off x="0" y="0"/>
                      <a:ext cx="6017979" cy="1439559"/>
                    </a:xfrm>
                    <a:prstGeom prst="rect">
                      <a:avLst/>
                    </a:prstGeom>
                  </pic:spPr>
                </pic:pic>
              </a:graphicData>
            </a:graphic>
          </wp:inline>
        </w:drawing>
      </w:r>
    </w:p>
    <w:p w14:paraId="558423F3" w14:textId="77777777" w:rsidR="00224B9C" w:rsidRPr="004049B3" w:rsidRDefault="00224B9C" w:rsidP="00224B9C">
      <w:pPr>
        <w:pStyle w:val="NoSpacing"/>
        <w:rPr>
          <w:b/>
          <w:bCs/>
          <w:color w:val="FF0000"/>
          <w:u w:val="single"/>
        </w:rPr>
      </w:pPr>
    </w:p>
    <w:p w14:paraId="2C987352" w14:textId="753A4DD5" w:rsidR="00E33CF2" w:rsidRPr="00B713F7" w:rsidRDefault="00E33CF2" w:rsidP="00293B6B">
      <w:pPr>
        <w:pStyle w:val="NoSpacing"/>
        <w:jc w:val="center"/>
        <w:rPr>
          <w:b/>
          <w:bCs/>
          <w:u w:val="single"/>
        </w:rPr>
      </w:pPr>
      <w:r w:rsidRPr="00B713F7">
        <w:rPr>
          <w:b/>
          <w:bCs/>
          <w:u w:val="single"/>
        </w:rPr>
        <w:t>PARENT EVIDENCE</w:t>
      </w:r>
    </w:p>
    <w:p w14:paraId="7CE3F6D3" w14:textId="77777777" w:rsidR="00E1101D" w:rsidRDefault="00E1101D" w:rsidP="00493B05">
      <w:pPr>
        <w:pStyle w:val="NoSpacing"/>
        <w:rPr>
          <w:b/>
          <w:bCs/>
          <w:color w:val="FF0000"/>
          <w:u w:val="single"/>
        </w:rPr>
      </w:pPr>
    </w:p>
    <w:p w14:paraId="0E14B7AF" w14:textId="17D04A08" w:rsidR="00B713F7" w:rsidRPr="00B713F7" w:rsidRDefault="00B713F7" w:rsidP="00B713F7">
      <w:pPr>
        <w:pStyle w:val="NoSpacing"/>
        <w:jc w:val="center"/>
        <w:rPr>
          <w:color w:val="FF0000"/>
          <w:u w:val="single"/>
        </w:rPr>
      </w:pPr>
      <w:r>
        <w:rPr>
          <w:noProof/>
        </w:rPr>
        <w:drawing>
          <wp:inline distT="0" distB="0" distL="0" distR="0" wp14:anchorId="2CB4C9BB" wp14:editId="250382FB">
            <wp:extent cx="4554747" cy="3100245"/>
            <wp:effectExtent l="0" t="0" r="0" b="5080"/>
            <wp:docPr id="172988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80409" name=""/>
                    <pic:cNvPicPr/>
                  </pic:nvPicPr>
                  <pic:blipFill>
                    <a:blip r:embed="rId14"/>
                    <a:stretch>
                      <a:fillRect/>
                    </a:stretch>
                  </pic:blipFill>
                  <pic:spPr>
                    <a:xfrm>
                      <a:off x="0" y="0"/>
                      <a:ext cx="4560736" cy="3104321"/>
                    </a:xfrm>
                    <a:prstGeom prst="rect">
                      <a:avLst/>
                    </a:prstGeom>
                  </pic:spPr>
                </pic:pic>
              </a:graphicData>
            </a:graphic>
          </wp:inline>
        </w:drawing>
      </w:r>
    </w:p>
    <w:bookmarkEnd w:id="2"/>
    <w:p w14:paraId="5C32D673" w14:textId="76E2C24C" w:rsidR="00AA4962" w:rsidRPr="004049B3" w:rsidRDefault="00AA4962" w:rsidP="0051431B">
      <w:pPr>
        <w:pStyle w:val="NoSpacing"/>
        <w:jc w:val="center"/>
        <w:rPr>
          <w:color w:val="FF0000"/>
          <w:u w:val="single"/>
        </w:rPr>
      </w:pPr>
    </w:p>
    <w:p w14:paraId="7F738C26" w14:textId="4CC2A22F" w:rsidR="00D07341" w:rsidRPr="003B56A5" w:rsidRDefault="00D07341" w:rsidP="00D07341">
      <w:pPr>
        <w:pStyle w:val="NoSpacing"/>
        <w:jc w:val="center"/>
        <w:rPr>
          <w:b/>
          <w:bCs/>
          <w:u w:val="single"/>
        </w:rPr>
      </w:pPr>
      <w:r w:rsidRPr="003B56A5">
        <w:rPr>
          <w:b/>
          <w:bCs/>
          <w:u w:val="single"/>
        </w:rPr>
        <w:t>IHO EVIDENCE</w:t>
      </w:r>
    </w:p>
    <w:p w14:paraId="3B9E324F" w14:textId="77777777" w:rsidR="00D07341" w:rsidRPr="003B56A5" w:rsidRDefault="00D07341" w:rsidP="009529A2">
      <w:pPr>
        <w:pStyle w:val="NoSpacing"/>
        <w:rPr>
          <w:u w:val="single"/>
        </w:rPr>
      </w:pPr>
    </w:p>
    <w:tbl>
      <w:tblPr>
        <w:tblStyle w:val="TableGrid"/>
        <w:tblW w:w="0" w:type="auto"/>
        <w:tblLook w:val="04A0" w:firstRow="1" w:lastRow="0" w:firstColumn="1" w:lastColumn="0" w:noHBand="0" w:noVBand="1"/>
      </w:tblPr>
      <w:tblGrid>
        <w:gridCol w:w="1165"/>
        <w:gridCol w:w="1800"/>
        <w:gridCol w:w="4950"/>
        <w:gridCol w:w="1435"/>
      </w:tblGrid>
      <w:tr w:rsidR="003B56A5" w:rsidRPr="003B56A5" w14:paraId="2AABAB91" w14:textId="77777777" w:rsidTr="00D20835">
        <w:tc>
          <w:tcPr>
            <w:tcW w:w="1165" w:type="dxa"/>
          </w:tcPr>
          <w:p w14:paraId="12CC50CA" w14:textId="77777777" w:rsidR="00D07341" w:rsidRPr="003B56A5" w:rsidRDefault="00D07341" w:rsidP="00D20835">
            <w:pPr>
              <w:pStyle w:val="NoSpacing"/>
              <w:jc w:val="center"/>
              <w:rPr>
                <w:b/>
                <w:bCs/>
              </w:rPr>
            </w:pPr>
            <w:r w:rsidRPr="003B56A5">
              <w:rPr>
                <w:b/>
                <w:bCs/>
              </w:rPr>
              <w:t>Exhibit</w:t>
            </w:r>
          </w:p>
        </w:tc>
        <w:tc>
          <w:tcPr>
            <w:tcW w:w="1800" w:type="dxa"/>
          </w:tcPr>
          <w:p w14:paraId="43441020" w14:textId="77777777" w:rsidR="00D07341" w:rsidRPr="003B56A5" w:rsidRDefault="00D07341" w:rsidP="00D20835">
            <w:pPr>
              <w:pStyle w:val="NoSpacing"/>
              <w:jc w:val="center"/>
              <w:rPr>
                <w:b/>
                <w:bCs/>
              </w:rPr>
            </w:pPr>
            <w:r w:rsidRPr="003B56A5">
              <w:rPr>
                <w:b/>
                <w:bCs/>
              </w:rPr>
              <w:t>Date</w:t>
            </w:r>
          </w:p>
        </w:tc>
        <w:tc>
          <w:tcPr>
            <w:tcW w:w="4950" w:type="dxa"/>
          </w:tcPr>
          <w:p w14:paraId="252B850D" w14:textId="77777777" w:rsidR="00D07341" w:rsidRPr="003B56A5" w:rsidRDefault="00D07341" w:rsidP="00D20835">
            <w:pPr>
              <w:pStyle w:val="NoSpacing"/>
              <w:jc w:val="center"/>
              <w:rPr>
                <w:b/>
                <w:bCs/>
              </w:rPr>
            </w:pPr>
            <w:r w:rsidRPr="003B56A5">
              <w:rPr>
                <w:b/>
                <w:bCs/>
              </w:rPr>
              <w:t>Name</w:t>
            </w:r>
          </w:p>
        </w:tc>
        <w:tc>
          <w:tcPr>
            <w:tcW w:w="1435" w:type="dxa"/>
          </w:tcPr>
          <w:p w14:paraId="119C0D01" w14:textId="77777777" w:rsidR="00D07341" w:rsidRPr="003B56A5" w:rsidRDefault="00D07341" w:rsidP="00D20835">
            <w:pPr>
              <w:pStyle w:val="NoSpacing"/>
              <w:jc w:val="center"/>
              <w:rPr>
                <w:b/>
                <w:bCs/>
              </w:rPr>
            </w:pPr>
            <w:r w:rsidRPr="003B56A5">
              <w:rPr>
                <w:b/>
                <w:bCs/>
              </w:rPr>
              <w:t>Pages</w:t>
            </w:r>
          </w:p>
        </w:tc>
      </w:tr>
      <w:tr w:rsidR="003B56A5" w:rsidRPr="003B56A5" w14:paraId="0ADE18E1" w14:textId="77777777" w:rsidTr="00D20835">
        <w:tc>
          <w:tcPr>
            <w:tcW w:w="1165" w:type="dxa"/>
          </w:tcPr>
          <w:p w14:paraId="7FC7315E" w14:textId="0E4B4C28" w:rsidR="00D3528B" w:rsidRPr="003B56A5" w:rsidRDefault="00D3528B" w:rsidP="00846A5E">
            <w:pPr>
              <w:pStyle w:val="NoSpacing"/>
              <w:jc w:val="center"/>
            </w:pPr>
            <w:r w:rsidRPr="003B56A5">
              <w:t>I</w:t>
            </w:r>
          </w:p>
        </w:tc>
        <w:tc>
          <w:tcPr>
            <w:tcW w:w="1800" w:type="dxa"/>
          </w:tcPr>
          <w:p w14:paraId="17BDE7ED" w14:textId="1E39A68A" w:rsidR="00D3528B" w:rsidRPr="003B56A5" w:rsidRDefault="008F3801" w:rsidP="005B40E0">
            <w:pPr>
              <w:pStyle w:val="NoSpacing"/>
              <w:jc w:val="center"/>
            </w:pPr>
            <w:r w:rsidRPr="003B56A5">
              <w:t>9/19/2024</w:t>
            </w:r>
          </w:p>
        </w:tc>
        <w:tc>
          <w:tcPr>
            <w:tcW w:w="4950" w:type="dxa"/>
          </w:tcPr>
          <w:p w14:paraId="6B771D7A" w14:textId="5A6C2734" w:rsidR="00D3528B" w:rsidRPr="003B56A5" w:rsidRDefault="00BF711F" w:rsidP="005B40E0">
            <w:pPr>
              <w:pStyle w:val="NoSpacing"/>
              <w:jc w:val="center"/>
            </w:pPr>
            <w:r w:rsidRPr="003B56A5">
              <w:t>DOE Motion to Dismiss</w:t>
            </w:r>
          </w:p>
        </w:tc>
        <w:tc>
          <w:tcPr>
            <w:tcW w:w="1435" w:type="dxa"/>
          </w:tcPr>
          <w:p w14:paraId="53B2BBDE" w14:textId="6486467E" w:rsidR="00D3528B" w:rsidRPr="003B56A5" w:rsidRDefault="008F3801" w:rsidP="005B40E0">
            <w:pPr>
              <w:pStyle w:val="NoSpacing"/>
              <w:jc w:val="center"/>
            </w:pPr>
            <w:r w:rsidRPr="003B56A5">
              <w:t>26</w:t>
            </w:r>
          </w:p>
        </w:tc>
      </w:tr>
    </w:tbl>
    <w:p w14:paraId="01EBF941" w14:textId="77777777" w:rsidR="00D07341" w:rsidRPr="004049B3" w:rsidRDefault="00D07341" w:rsidP="009529A2">
      <w:pPr>
        <w:pStyle w:val="NoSpacing"/>
        <w:rPr>
          <w:color w:val="FF0000"/>
          <w:u w:val="single"/>
        </w:rPr>
      </w:pPr>
    </w:p>
    <w:sectPr w:rsidR="00D07341" w:rsidRPr="004049B3" w:rsidSect="001064FE">
      <w:headerReference w:type="default" r:id="rId15"/>
      <w:footerReference w:type="default" r:id="rId16"/>
      <w:headerReference w:type="first" r:id="rId17"/>
      <w:footerReference w:type="first" r:id="rId18"/>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1761" w14:textId="77777777" w:rsidR="00677725" w:rsidRDefault="00677725" w:rsidP="00D44086">
      <w:pPr>
        <w:spacing w:line="240" w:lineRule="auto"/>
      </w:pPr>
      <w:r>
        <w:separator/>
      </w:r>
    </w:p>
  </w:endnote>
  <w:endnote w:type="continuationSeparator" w:id="0">
    <w:p w14:paraId="1B31A43F" w14:textId="77777777" w:rsidR="00677725" w:rsidRDefault="00677725" w:rsidP="00D44086">
      <w:pPr>
        <w:spacing w:line="240" w:lineRule="auto"/>
      </w:pPr>
      <w:r>
        <w:continuationSeparator/>
      </w:r>
    </w:p>
  </w:endnote>
  <w:endnote w:type="continuationNotice" w:id="1">
    <w:p w14:paraId="16D9617A" w14:textId="77777777" w:rsidR="00677725" w:rsidRDefault="006777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ZWAdobeF">
    <w:panose1 w:val="00000000000000000000"/>
    <w:charset w:val="00"/>
    <w:family w:val="auto"/>
    <w:pitch w:val="variable"/>
    <w:sig w:usb0="20002A87" w:usb1="00000000" w:usb2="00000000" w:usb3="00000000" w:csb0="000001FF" w:csb1="00000000"/>
  </w:font>
  <w:font w:name="Freestyle Script">
    <w:panose1 w:val="030804020302050B0404"/>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FC5881" w14:paraId="76FD4691" w14:textId="77777777" w:rsidTr="20FC5881">
      <w:trPr>
        <w:trHeight w:val="300"/>
      </w:trPr>
      <w:tc>
        <w:tcPr>
          <w:tcW w:w="3120" w:type="dxa"/>
        </w:tcPr>
        <w:p w14:paraId="1C5EE5C7" w14:textId="7540923F" w:rsidR="20FC5881" w:rsidRDefault="20FC5881" w:rsidP="20FC5881">
          <w:pPr>
            <w:pStyle w:val="Header"/>
            <w:ind w:left="-115"/>
          </w:pPr>
        </w:p>
      </w:tc>
      <w:tc>
        <w:tcPr>
          <w:tcW w:w="3120" w:type="dxa"/>
        </w:tcPr>
        <w:p w14:paraId="6ED9E0E0" w14:textId="2C09FB52" w:rsidR="20FC5881" w:rsidRDefault="20FC5881" w:rsidP="20FC5881">
          <w:pPr>
            <w:pStyle w:val="Header"/>
            <w:jc w:val="center"/>
          </w:pPr>
        </w:p>
      </w:tc>
      <w:tc>
        <w:tcPr>
          <w:tcW w:w="3120" w:type="dxa"/>
        </w:tcPr>
        <w:p w14:paraId="6DBE307E" w14:textId="7C1E30DE" w:rsidR="20FC5881" w:rsidRDefault="20FC5881" w:rsidP="20FC5881">
          <w:pPr>
            <w:pStyle w:val="Header"/>
            <w:ind w:right="-115"/>
            <w:jc w:val="right"/>
          </w:pPr>
        </w:p>
      </w:tc>
    </w:tr>
  </w:tbl>
  <w:p w14:paraId="1BE3846B" w14:textId="46B8BE74" w:rsidR="20FC5881" w:rsidRDefault="20FC5881" w:rsidP="20FC5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FC5881" w14:paraId="62120880" w14:textId="77777777" w:rsidTr="20FC5881">
      <w:trPr>
        <w:trHeight w:val="300"/>
      </w:trPr>
      <w:tc>
        <w:tcPr>
          <w:tcW w:w="3120" w:type="dxa"/>
        </w:tcPr>
        <w:p w14:paraId="20E3E777" w14:textId="49AB3817" w:rsidR="20FC5881" w:rsidRDefault="20FC5881" w:rsidP="20FC5881">
          <w:pPr>
            <w:pStyle w:val="Header"/>
            <w:ind w:left="-115"/>
          </w:pPr>
        </w:p>
      </w:tc>
      <w:tc>
        <w:tcPr>
          <w:tcW w:w="3120" w:type="dxa"/>
        </w:tcPr>
        <w:p w14:paraId="769BFC9F" w14:textId="5E20C9B0" w:rsidR="20FC5881" w:rsidRDefault="20FC5881" w:rsidP="20FC5881">
          <w:pPr>
            <w:pStyle w:val="Header"/>
            <w:jc w:val="center"/>
          </w:pPr>
        </w:p>
      </w:tc>
      <w:tc>
        <w:tcPr>
          <w:tcW w:w="3120" w:type="dxa"/>
        </w:tcPr>
        <w:p w14:paraId="56E91270" w14:textId="44570C5B" w:rsidR="20FC5881" w:rsidRDefault="20FC5881" w:rsidP="20FC5881">
          <w:pPr>
            <w:pStyle w:val="Header"/>
            <w:ind w:right="-115"/>
            <w:jc w:val="right"/>
          </w:pPr>
        </w:p>
      </w:tc>
    </w:tr>
  </w:tbl>
  <w:p w14:paraId="43371FF3" w14:textId="2B5C822E" w:rsidR="20FC5881" w:rsidRDefault="20FC5881" w:rsidP="20FC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946B" w14:textId="77777777" w:rsidR="00677725" w:rsidRDefault="00677725" w:rsidP="00D44086">
      <w:pPr>
        <w:spacing w:line="240" w:lineRule="auto"/>
      </w:pPr>
      <w:r>
        <w:separator/>
      </w:r>
    </w:p>
  </w:footnote>
  <w:footnote w:type="continuationSeparator" w:id="0">
    <w:p w14:paraId="5B1111C2" w14:textId="77777777" w:rsidR="00677725" w:rsidRDefault="00677725" w:rsidP="00D44086">
      <w:pPr>
        <w:spacing w:line="240" w:lineRule="auto"/>
      </w:pPr>
      <w:r>
        <w:continuationSeparator/>
      </w:r>
    </w:p>
  </w:footnote>
  <w:footnote w:type="continuationNotice" w:id="1">
    <w:p w14:paraId="7E402836" w14:textId="77777777" w:rsidR="00677725" w:rsidRDefault="00677725">
      <w:pPr>
        <w:spacing w:line="240" w:lineRule="auto"/>
      </w:pPr>
    </w:p>
  </w:footnote>
  <w:footnote w:id="2">
    <w:p w14:paraId="656E369E" w14:textId="510A38E5" w:rsidR="009C5789" w:rsidRDefault="009C5789">
      <w:pPr>
        <w:pStyle w:val="FootnoteText"/>
      </w:pPr>
      <w:r>
        <w:rPr>
          <w:rStyle w:val="FootnoteReference"/>
        </w:rPr>
        <w:footnoteRef/>
      </w:r>
      <w:r>
        <w:t xml:space="preserve"> As of the date of this decision, a transcript of the Due Process Hearing is unavailable. Once it has been created, the transcript will be incorporated into the case record. </w:t>
      </w:r>
    </w:p>
  </w:footnote>
  <w:footnote w:id="3">
    <w:p w14:paraId="1B3F1731" w14:textId="0026CEB2" w:rsidR="008B5AA8" w:rsidRDefault="008B5AA8">
      <w:pPr>
        <w:pStyle w:val="FootnoteText"/>
      </w:pPr>
      <w:r>
        <w:rPr>
          <w:rStyle w:val="FootnoteReference"/>
        </w:rPr>
        <w:footnoteRef/>
      </w:r>
      <w:r>
        <w:t xml:space="preserve"> Both parties entered the 20</w:t>
      </w:r>
      <w:r w:rsidR="00B31938">
        <w:t>2</w:t>
      </w:r>
      <w:r w:rsidR="00EB200F">
        <w:t>0</w:t>
      </w:r>
      <w:r>
        <w:t xml:space="preserve"> IESP into the record as an exhibit</w:t>
      </w:r>
      <w:r w:rsidR="00EB200F">
        <w:t xml:space="preserve"> (P. Ex. B, DOE Ex. </w:t>
      </w:r>
      <w:r w:rsidR="00EA7DF1">
        <w:t>3)</w:t>
      </w:r>
      <w:r>
        <w:t>. For clarity and consistency, I will cite to the Parent’s Exhibit B when referencing the 20</w:t>
      </w:r>
      <w:r w:rsidR="00B31938">
        <w:t>2</w:t>
      </w:r>
      <w:r w:rsidR="00EB200F">
        <w:t>0</w:t>
      </w:r>
      <w:r w:rsidR="00E6381B">
        <w:t xml:space="preserve"> </w:t>
      </w:r>
      <w:r>
        <w:t xml:space="preserve">IESP. </w:t>
      </w:r>
    </w:p>
  </w:footnote>
  <w:footnote w:id="4">
    <w:p w14:paraId="712D9B9F" w14:textId="77777777" w:rsidR="00BB4B5C" w:rsidRDefault="00BB4B5C" w:rsidP="00BB4B5C">
      <w:pPr>
        <w:pStyle w:val="FootnoteText"/>
      </w:pPr>
      <w:r>
        <w:rPr>
          <w:rStyle w:val="FootnoteReference"/>
        </w:rPr>
        <w:footnoteRef/>
      </w:r>
      <w:r>
        <w:t xml:space="preserve"> </w:t>
      </w:r>
      <w:r w:rsidRPr="00973414">
        <w:rPr>
          <w:rFonts w:eastAsia="Times New Roman"/>
          <w:i/>
          <w:iCs/>
          <w:lang w:bidi="en-US"/>
        </w:rPr>
        <w:t xml:space="preserve">In re Gleason, </w:t>
      </w:r>
      <w:r w:rsidRPr="00973414">
        <w:rPr>
          <w:rFonts w:eastAsia="Times New Roman"/>
          <w:lang w:bidi="en-US"/>
        </w:rPr>
        <w:t>96 NY2d 117, 122 [2001]</w:t>
      </w:r>
      <w:r>
        <w:rPr>
          <w:rFonts w:eastAsia="Times New Roman"/>
          <w:lang w:bidi="en-US"/>
        </w:rPr>
        <w:t>.</w:t>
      </w:r>
    </w:p>
  </w:footnote>
  <w:footnote w:id="5">
    <w:p w14:paraId="7DB829B4" w14:textId="77777777" w:rsidR="00BB4B5C" w:rsidRDefault="00BB4B5C" w:rsidP="00BB4B5C">
      <w:pPr>
        <w:pStyle w:val="FootnoteText"/>
      </w:pPr>
      <w:r w:rsidRPr="0081360F">
        <w:rPr>
          <w:rStyle w:val="FootnoteReference"/>
        </w:rPr>
        <w:footnoteRef/>
      </w:r>
      <w:r w:rsidRPr="0081360F">
        <w:t xml:space="preserve"> </w:t>
      </w:r>
      <w:r w:rsidRPr="0081360F">
        <w:rPr>
          <w:rFonts w:eastAsia="Times New Roman"/>
          <w:i/>
          <w:iCs/>
          <w:lang w:bidi="en-US"/>
        </w:rPr>
        <w:t xml:space="preserve">Regina Metropolitan Co., LLC v. New York State Division of Housing and Community Renewal, </w:t>
      </w:r>
      <w:r w:rsidRPr="0081360F">
        <w:rPr>
          <w:rFonts w:eastAsia="Times New Roman"/>
          <w:lang w:bidi="en-US"/>
        </w:rPr>
        <w:t xml:space="preserve">35 NY3d 332, 366 [2020], </w:t>
      </w:r>
      <w:r w:rsidRPr="0081360F">
        <w:rPr>
          <w:rFonts w:eastAsia="Times New Roman"/>
          <w:i/>
          <w:iCs/>
          <w:lang w:bidi="en-US"/>
        </w:rPr>
        <w:t xml:space="preserve">citing Landgraf v. USI Film Products, </w:t>
      </w:r>
      <w:r w:rsidRPr="0081360F">
        <w:rPr>
          <w:rFonts w:eastAsia="Times New Roman"/>
          <w:lang w:bidi="en-US"/>
        </w:rPr>
        <w:t>511 U.S. 244, 365 [1994] [internal quotations omitted].</w:t>
      </w:r>
    </w:p>
  </w:footnote>
  <w:footnote w:id="6">
    <w:p w14:paraId="786CEDC1" w14:textId="77777777" w:rsidR="00D15DEC" w:rsidRDefault="00D15DEC" w:rsidP="00D15DEC">
      <w:pPr>
        <w:pStyle w:val="FootnoteText"/>
      </w:pPr>
      <w:r>
        <w:rPr>
          <w:rStyle w:val="FootnoteReference"/>
        </w:rPr>
        <w:footnoteRef/>
      </w:r>
      <w:r>
        <w:t xml:space="preserve"> 20 U.S.C. § 1400 (d)(1)(A)</w:t>
      </w:r>
    </w:p>
  </w:footnote>
  <w:footnote w:id="7">
    <w:p w14:paraId="05EA0612" w14:textId="77777777" w:rsidR="00D15DEC" w:rsidRDefault="00D15DEC" w:rsidP="00D15DEC">
      <w:pPr>
        <w:pStyle w:val="FootnoteText"/>
      </w:pPr>
      <w:r>
        <w:rPr>
          <w:rStyle w:val="FootnoteReference"/>
        </w:rPr>
        <w:footnoteRef/>
      </w:r>
      <w:r>
        <w:t xml:space="preserve"> 20 U.S.C. § 1401(9)</w:t>
      </w:r>
    </w:p>
  </w:footnote>
  <w:footnote w:id="8">
    <w:p w14:paraId="7DF784E0" w14:textId="77777777" w:rsidR="00D15DEC" w:rsidRDefault="00D15DEC" w:rsidP="00D15DEC">
      <w:pPr>
        <w:pStyle w:val="FootnoteText"/>
      </w:pPr>
      <w:r>
        <w:rPr>
          <w:rStyle w:val="FootnoteReference"/>
        </w:rPr>
        <w:footnoteRef/>
      </w:r>
      <w:r>
        <w:t xml:space="preserve"> Educ. Law § 3602-c (2) </w:t>
      </w:r>
    </w:p>
  </w:footnote>
  <w:footnote w:id="9">
    <w:p w14:paraId="1BB18940" w14:textId="77777777" w:rsidR="00D15DEC" w:rsidRDefault="00D15DEC" w:rsidP="00D15DEC">
      <w:pPr>
        <w:pStyle w:val="FootnoteText"/>
      </w:pPr>
      <w:r>
        <w:rPr>
          <w:rStyle w:val="FootnoteReference"/>
        </w:rPr>
        <w:footnoteRef/>
      </w:r>
      <w:r>
        <w:t xml:space="preserve"> Educ. Law§ 3602-c (2) (b) (l)</w:t>
      </w:r>
    </w:p>
  </w:footnote>
  <w:footnote w:id="10">
    <w:p w14:paraId="04EB2A1B" w14:textId="77777777" w:rsidR="00D15DEC" w:rsidRDefault="00D15DEC" w:rsidP="00D15DEC">
      <w:pPr>
        <w:pStyle w:val="FootnoteText"/>
      </w:pPr>
      <w:r>
        <w:rPr>
          <w:rStyle w:val="FootnoteReference"/>
        </w:rPr>
        <w:footnoteRef/>
      </w:r>
      <w:r>
        <w:t xml:space="preserve"> Educ. Law § 3602-c (2)(a)</w:t>
      </w:r>
    </w:p>
  </w:footnote>
  <w:footnote w:id="11">
    <w:p w14:paraId="4CBAF6B8" w14:textId="77777777" w:rsidR="00D15DEC" w:rsidRDefault="00D15DEC" w:rsidP="00D15DEC">
      <w:pPr>
        <w:pStyle w:val="FootnoteText"/>
      </w:pPr>
      <w:r>
        <w:rPr>
          <w:rStyle w:val="FootnoteReference"/>
        </w:rPr>
        <w:footnoteRef/>
      </w:r>
      <w:r>
        <w:t xml:space="preserve"> Educ. Law § 3602-c (2)(b)(1)</w:t>
      </w:r>
    </w:p>
  </w:footnote>
  <w:footnote w:id="12">
    <w:p w14:paraId="3B97D16D" w14:textId="77777777" w:rsidR="00D15DEC" w:rsidRDefault="00D15DEC" w:rsidP="00D15DEC">
      <w:pPr>
        <w:pStyle w:val="FootnoteText"/>
      </w:pPr>
      <w:r>
        <w:rPr>
          <w:rStyle w:val="FootnoteReference"/>
        </w:rPr>
        <w:footnoteRef/>
      </w:r>
      <w:r>
        <w:t xml:space="preserve"> </w:t>
      </w:r>
      <w:r w:rsidRPr="12766979">
        <w:rPr>
          <w:rFonts w:cs="Times New Roman"/>
        </w:rPr>
        <w:t>Educ. Law § 3602-c</w:t>
      </w:r>
      <w:r>
        <w:rPr>
          <w:rFonts w:cs="Times New Roman"/>
        </w:rPr>
        <w:t>(</w:t>
      </w:r>
      <w:r w:rsidRPr="12766979">
        <w:rPr>
          <w:rFonts w:cs="Times New Roman"/>
        </w:rPr>
        <w:t>2</w:t>
      </w:r>
      <w:r>
        <w:rPr>
          <w:rFonts w:cs="Times New Roman"/>
        </w:rPr>
        <w:t>)(</w:t>
      </w:r>
      <w:r w:rsidRPr="12766979">
        <w:rPr>
          <w:rFonts w:cs="Times New Roman"/>
        </w:rPr>
        <w:t>a</w:t>
      </w:r>
      <w:r>
        <w:rPr>
          <w:rFonts w:cs="Times New Roman"/>
        </w:rPr>
        <w:t>)</w:t>
      </w:r>
    </w:p>
  </w:footnote>
  <w:footnote w:id="13">
    <w:p w14:paraId="4A4A219B" w14:textId="77777777" w:rsidR="00D15DEC" w:rsidRDefault="00D15DEC" w:rsidP="00D15DEC">
      <w:pPr>
        <w:pStyle w:val="FootnoteText"/>
      </w:pPr>
      <w:r>
        <w:rPr>
          <w:rStyle w:val="FootnoteReference"/>
        </w:rPr>
        <w:footnoteRef/>
      </w:r>
      <w:r>
        <w:t xml:space="preserve"> </w:t>
      </w:r>
      <w:r w:rsidRPr="12766979">
        <w:rPr>
          <w:rFonts w:cs="Times New Roman"/>
        </w:rPr>
        <w:t>Educ. Law § 3602-c</w:t>
      </w:r>
      <w:r>
        <w:rPr>
          <w:rFonts w:cs="Times New Roman"/>
        </w:rPr>
        <w:t>(</w:t>
      </w:r>
      <w:r w:rsidRPr="12766979">
        <w:rPr>
          <w:rFonts w:cs="Times New Roman"/>
        </w:rPr>
        <w:t>2</w:t>
      </w:r>
      <w:r>
        <w:rPr>
          <w:rFonts w:cs="Times New Roman"/>
        </w:rPr>
        <w:t>)(</w:t>
      </w:r>
      <w:r w:rsidRPr="12766979">
        <w:rPr>
          <w:rFonts w:cs="Times New Roman"/>
        </w:rPr>
        <w:t>b</w:t>
      </w:r>
      <w:r>
        <w:rPr>
          <w:rFonts w:cs="Times New Roman"/>
        </w:rPr>
        <w:t>)(</w:t>
      </w:r>
      <w:r w:rsidRPr="12766979">
        <w:rPr>
          <w:rFonts w:cs="Times New Roman"/>
        </w:rPr>
        <w:t>1</w:t>
      </w:r>
      <w:r>
        <w:rPr>
          <w:rFonts w:cs="Times New Roman"/>
        </w:rPr>
        <w:t>)</w:t>
      </w:r>
    </w:p>
  </w:footnote>
  <w:footnote w:id="14">
    <w:p w14:paraId="18F81D70" w14:textId="77777777" w:rsidR="00D15DEC" w:rsidRPr="00FA31D1" w:rsidRDefault="00D15DEC" w:rsidP="00D15DEC">
      <w:pPr>
        <w:pStyle w:val="FootnoteText"/>
        <w:spacing w:after="60"/>
        <w:jc w:val="both"/>
        <w:rPr>
          <w:rFonts w:cs="Times New Roman"/>
        </w:rPr>
      </w:pPr>
      <w:r w:rsidRPr="002C1BEF">
        <w:rPr>
          <w:rStyle w:val="FootnoteReference"/>
          <w:rFonts w:cs="Times New Roman"/>
        </w:rPr>
        <w:footnoteRef/>
      </w:r>
      <w:r w:rsidRPr="002C1BEF">
        <w:rPr>
          <w:rFonts w:cs="Times New Roman"/>
        </w:rPr>
        <w:t xml:space="preserve"> </w:t>
      </w:r>
      <w:r w:rsidRPr="002C1BEF">
        <w:rPr>
          <w:rFonts w:cs="Times New Roman"/>
          <w:i/>
          <w:iCs/>
        </w:rPr>
        <w:t xml:space="preserve">See </w:t>
      </w:r>
      <w:r w:rsidRPr="002C1BEF">
        <w:rPr>
          <w:rFonts w:cs="Times New Roman"/>
        </w:rPr>
        <w:t xml:space="preserve">8 NYCRR 200.4(e)(7); </w:t>
      </w:r>
      <w:r w:rsidRPr="002C1BEF">
        <w:rPr>
          <w:rFonts w:cs="Times New Roman"/>
          <w:i/>
          <w:iCs/>
        </w:rPr>
        <w:t>see also</w:t>
      </w:r>
      <w:r w:rsidRPr="002C1BEF">
        <w:rPr>
          <w:rFonts w:cs="Times New Roman"/>
        </w:rPr>
        <w:t xml:space="preserve"> </w:t>
      </w:r>
      <w:r w:rsidRPr="002C1BEF">
        <w:rPr>
          <w:rFonts w:cs="Times New Roman"/>
          <w:i/>
          <w:iCs/>
        </w:rPr>
        <w:t>Application of a Child with a Disability</w:t>
      </w:r>
      <w:r w:rsidRPr="002C1BEF">
        <w:rPr>
          <w:rFonts w:cs="Times New Roman"/>
        </w:rPr>
        <w:t>, Appeal No. 08-087.</w:t>
      </w:r>
    </w:p>
  </w:footnote>
  <w:footnote w:id="15">
    <w:p w14:paraId="1C9902E5" w14:textId="6F917D13" w:rsidR="00074D88" w:rsidRPr="007D588F" w:rsidRDefault="00074D88" w:rsidP="00074D88">
      <w:pPr>
        <w:pStyle w:val="FootnoteText"/>
        <w:spacing w:afterLines="20" w:after="48"/>
        <w:jc w:val="both"/>
        <w:rPr>
          <w:rFonts w:cs="Times New Roman"/>
        </w:rPr>
      </w:pPr>
      <w:r w:rsidRPr="007D588F">
        <w:rPr>
          <w:rStyle w:val="FootnoteReference"/>
          <w:rFonts w:cs="Times New Roman"/>
        </w:rPr>
        <w:footnoteRef/>
      </w:r>
      <w:r w:rsidR="002F38E8">
        <w:rPr>
          <w:rFonts w:cs="Times New Roman"/>
        </w:rPr>
        <w:t xml:space="preserve"> </w:t>
      </w:r>
      <w:r w:rsidRPr="00F97558">
        <w:rPr>
          <w:rFonts w:cs="Times New Roman"/>
          <w:u w:val="single"/>
        </w:rPr>
        <w:t>N.L.R.B. v. N.Y. Tele. Co.</w:t>
      </w:r>
      <w:r w:rsidRPr="00F97558">
        <w:rPr>
          <w:rFonts w:cs="Times New Roman"/>
        </w:rPr>
        <w:t xml:space="preserve">, 930 F2d 1011 (The Court held that when a party is aware of their rights and makes a choice to proceed with a course of conduct contrary to those rights, “a clear and unmistakable waiver may be found.”); </w:t>
      </w:r>
      <w:r w:rsidRPr="00F97558">
        <w:rPr>
          <w:rFonts w:cs="Times New Roman"/>
          <w:u w:val="single"/>
        </w:rPr>
        <w:t>Application of a Student with a Disability</w:t>
      </w:r>
      <w:r w:rsidRPr="00F97558">
        <w:rPr>
          <w:rFonts w:cs="Times New Roman"/>
        </w:rPr>
        <w:t xml:space="preserve">, 23-033, p.10  (By convening the CSE and developing an IESP for the student, the district is bound by the IESP.); See also, </w:t>
      </w:r>
      <w:r w:rsidRPr="00F97558">
        <w:rPr>
          <w:rFonts w:cs="Times New Roman"/>
          <w:u w:val="single"/>
        </w:rPr>
        <w:t>Application of a Student with a Disability</w:t>
      </w:r>
      <w:r w:rsidRPr="00F97558">
        <w:rPr>
          <w:rFonts w:cs="Times New Roman"/>
        </w:rPr>
        <w:t xml:space="preserve">, 23-140, p.6, citing, </w:t>
      </w:r>
      <w:r w:rsidRPr="00F97558">
        <w:rPr>
          <w:rFonts w:cs="Times New Roman"/>
          <w:u w:val="single"/>
        </w:rPr>
        <w:t>N.L.R.B. v. N.Y. Tele. Co.</w:t>
      </w:r>
      <w:r w:rsidRPr="00F97558">
        <w:rPr>
          <w:rFonts w:cs="Times New Roman"/>
        </w:rPr>
        <w:t xml:space="preserve">, supra.; and </w:t>
      </w:r>
      <w:r w:rsidRPr="00F97558">
        <w:rPr>
          <w:rFonts w:cs="Times New Roman"/>
          <w:u w:val="single"/>
        </w:rPr>
        <w:t>Application of a Bd. of Educ.</w:t>
      </w:r>
      <w:r w:rsidRPr="00F97558">
        <w:rPr>
          <w:rFonts w:cs="Times New Roman"/>
        </w:rPr>
        <w:t xml:space="preserve">, 18-088, p.8, citing </w:t>
      </w:r>
      <w:r w:rsidRPr="00F97558">
        <w:rPr>
          <w:rFonts w:cs="Times New Roman"/>
          <w:u w:val="single"/>
        </w:rPr>
        <w:t>N.L.R.B. v. N.Y. Tele. Co.</w:t>
      </w:r>
      <w:r w:rsidRPr="00F97558">
        <w:rPr>
          <w:rFonts w:cs="Times New Roman"/>
        </w:rPr>
        <w:t>, supra.  (By making the “conscious choice” to convene the CSE after the June 1</w:t>
      </w:r>
      <w:r w:rsidRPr="00F97558">
        <w:rPr>
          <w:rFonts w:cs="Times New Roman"/>
          <w:vertAlign w:val="superscript"/>
        </w:rPr>
        <w:t>st</w:t>
      </w:r>
      <w:r w:rsidRPr="00F97558">
        <w:rPr>
          <w:rFonts w:cs="Times New Roman"/>
        </w:rPr>
        <w:t xml:space="preserve"> deadline and developing an IESP for the student “for whatever reason,” the district waived the defense.).</w:t>
      </w:r>
      <w:r w:rsidRPr="007D588F">
        <w:rPr>
          <w:rFonts w:cs="Times New Roman"/>
        </w:rPr>
        <w:t xml:space="preserve"> </w:t>
      </w:r>
    </w:p>
  </w:footnote>
  <w:footnote w:id="16">
    <w:p w14:paraId="7379B764" w14:textId="77777777" w:rsidR="00150B5E" w:rsidRDefault="00150B5E" w:rsidP="00150B5E">
      <w:pPr>
        <w:pStyle w:val="FootnoteText"/>
        <w:spacing w:after="60"/>
      </w:pPr>
      <w:r>
        <w:rPr>
          <w:rStyle w:val="FootnoteReference"/>
        </w:rPr>
        <w:footnoteRef/>
      </w:r>
      <w:r>
        <w:t xml:space="preserve"> </w:t>
      </w:r>
      <w:r>
        <w:rPr>
          <w:rFonts w:cs="Times New Roman"/>
          <w:i/>
          <w:iCs/>
          <w:color w:val="000000"/>
          <w:shd w:val="clear" w:color="auto" w:fill="FFFFFF"/>
        </w:rPr>
        <w:t>S</w:t>
      </w:r>
      <w:r w:rsidRPr="002B53C4">
        <w:rPr>
          <w:rFonts w:cs="Times New Roman"/>
          <w:i/>
          <w:iCs/>
          <w:color w:val="000000"/>
          <w:shd w:val="clear" w:color="auto" w:fill="FFFFFF"/>
        </w:rPr>
        <w:t>ee</w:t>
      </w:r>
      <w:r>
        <w:rPr>
          <w:rFonts w:cs="Times New Roman"/>
          <w:color w:val="000000"/>
          <w:shd w:val="clear" w:color="auto" w:fill="FFFFFF"/>
        </w:rPr>
        <w:t xml:space="preserve">, </w:t>
      </w:r>
      <w:r>
        <w:rPr>
          <w:rFonts w:cs="Times New Roman"/>
          <w:i/>
          <w:iCs/>
          <w:color w:val="000000"/>
          <w:shd w:val="clear" w:color="auto" w:fill="FFFFFF"/>
        </w:rPr>
        <w:t>e.g.</w:t>
      </w:r>
      <w:r>
        <w:rPr>
          <w:rFonts w:cs="Times New Roman"/>
          <w:color w:val="000000"/>
          <w:shd w:val="clear" w:color="auto" w:fill="FFFFFF"/>
        </w:rPr>
        <w:t>,</w:t>
      </w:r>
      <w:r w:rsidRPr="002B53C4">
        <w:rPr>
          <w:rFonts w:cs="Times New Roman"/>
          <w:i/>
          <w:iCs/>
          <w:color w:val="000000"/>
          <w:shd w:val="clear" w:color="auto" w:fill="FFFFFF"/>
        </w:rPr>
        <w:t xml:space="preserve"> Application of a Student with a Disability</w:t>
      </w:r>
      <w:r w:rsidRPr="002B53C4">
        <w:rPr>
          <w:rFonts w:cs="Times New Roman"/>
          <w:color w:val="000000"/>
          <w:shd w:val="clear" w:color="auto" w:fill="FFFFFF"/>
        </w:rPr>
        <w:t>, Appeal No. 21-068</w:t>
      </w:r>
      <w:r>
        <w:rPr>
          <w:rFonts w:cs="Times New Roman"/>
          <w:color w:val="000000"/>
          <w:shd w:val="clear" w:color="auto" w:fill="FFFFFF"/>
        </w:rPr>
        <w:t>.</w:t>
      </w:r>
    </w:p>
  </w:footnote>
  <w:footnote w:id="17">
    <w:p w14:paraId="1F7D6FBD" w14:textId="77777777" w:rsidR="00150B5E" w:rsidRDefault="00150B5E" w:rsidP="00150B5E">
      <w:pPr>
        <w:pStyle w:val="FootnoteText"/>
        <w:spacing w:after="60"/>
      </w:pPr>
      <w:r>
        <w:rPr>
          <w:rStyle w:val="FootnoteReference"/>
        </w:rPr>
        <w:footnoteRef/>
      </w:r>
      <w:r>
        <w:t xml:space="preserve"> </w:t>
      </w:r>
      <w:r>
        <w:rPr>
          <w:rFonts w:cs="Times New Roman"/>
          <w:i/>
          <w:iCs/>
          <w:color w:val="000000"/>
          <w:shd w:val="clear" w:color="auto" w:fill="FFFFFF"/>
        </w:rPr>
        <w:t>Id</w:t>
      </w:r>
      <w:r>
        <w:rPr>
          <w:rFonts w:cs="Times New Roman"/>
          <w:color w:val="000000"/>
          <w:shd w:val="clear" w:color="auto" w:fill="FFFFFF"/>
        </w:rPr>
        <w:t>.</w:t>
      </w:r>
    </w:p>
  </w:footnote>
  <w:footnote w:id="18">
    <w:p w14:paraId="2A347B9B" w14:textId="77777777" w:rsidR="00150B5E" w:rsidRDefault="00150B5E" w:rsidP="00150B5E">
      <w:pPr>
        <w:pStyle w:val="FootnoteText"/>
        <w:spacing w:after="60"/>
      </w:pPr>
      <w:r>
        <w:rPr>
          <w:rStyle w:val="FootnoteReference"/>
        </w:rPr>
        <w:footnoteRef/>
      </w:r>
      <w:r>
        <w:t xml:space="preserve"> </w:t>
      </w:r>
      <w:r>
        <w:rPr>
          <w:i/>
          <w:iCs/>
        </w:rPr>
        <w:t>See Davis v. Wappingers Cent. Sch. Dist.</w:t>
      </w:r>
      <w:r>
        <w:t>, 431 Fed. App. 12, 14 (2d Cir. 2011).</w:t>
      </w:r>
    </w:p>
  </w:footnote>
  <w:footnote w:id="19">
    <w:p w14:paraId="6ADF2C7A" w14:textId="77777777" w:rsidR="00E82DBE" w:rsidRPr="00DF0284" w:rsidRDefault="00E82DBE" w:rsidP="00E82DBE">
      <w:pPr>
        <w:pStyle w:val="FootnoteText"/>
        <w:rPr>
          <w:rFonts w:cs="Times New Roman"/>
        </w:rPr>
      </w:pPr>
      <w:r>
        <w:rPr>
          <w:rStyle w:val="FootnoteReference"/>
        </w:rPr>
        <w:footnoteRef/>
      </w:r>
      <w:r>
        <w:t xml:space="preserve"> </w:t>
      </w:r>
      <w:r w:rsidRPr="00257C3B">
        <w:rPr>
          <w:rFonts w:cs="Times New Roman"/>
          <w:i/>
          <w:iCs/>
        </w:rPr>
        <w:t xml:space="preserve">See </w:t>
      </w:r>
      <w:r w:rsidRPr="12766979">
        <w:rPr>
          <w:rFonts w:cs="Times New Roman"/>
          <w:i/>
          <w:iCs/>
        </w:rPr>
        <w:t>Application of a Student with a Disability,</w:t>
      </w:r>
      <w:r w:rsidRPr="12766979">
        <w:rPr>
          <w:rFonts w:cs="Times New Roman"/>
        </w:rPr>
        <w:t xml:space="preserve"> Appeal No. 20-023, citing </w:t>
      </w:r>
      <w:r w:rsidRPr="12766979">
        <w:rPr>
          <w:rFonts w:cs="Times New Roman"/>
          <w:i/>
          <w:iCs/>
        </w:rPr>
        <w:t xml:space="preserve">Doe v. E. Lyme Bd. of Educ., </w:t>
      </w:r>
      <w:r w:rsidRPr="00257C3B">
        <w:rPr>
          <w:rFonts w:cs="Times New Roman"/>
        </w:rPr>
        <w:t>262 F. Supp. 3d 11, 27 (</w:t>
      </w:r>
      <w:proofErr w:type="spellStart"/>
      <w:r w:rsidRPr="00257C3B">
        <w:rPr>
          <w:rFonts w:cs="Times New Roman"/>
        </w:rPr>
        <w:t>D.Conn</w:t>
      </w:r>
      <w:proofErr w:type="spellEnd"/>
      <w:r w:rsidRPr="00257C3B">
        <w:rPr>
          <w:rFonts w:cs="Times New Roman"/>
        </w:rPr>
        <w:t>. 2017).</w:t>
      </w:r>
    </w:p>
  </w:footnote>
  <w:footnote w:id="20">
    <w:p w14:paraId="0EBA36AA" w14:textId="77777777" w:rsidR="00E82DBE" w:rsidRDefault="00E82DBE" w:rsidP="00E82DBE">
      <w:pPr>
        <w:pStyle w:val="FootnoteText"/>
      </w:pPr>
      <w:r w:rsidRPr="00DF0284">
        <w:rPr>
          <w:rStyle w:val="FootnoteReference"/>
        </w:rPr>
        <w:footnoteRef/>
      </w:r>
      <w:r w:rsidRPr="00DF0284">
        <w:t xml:space="preserve"> </w:t>
      </w:r>
      <w:r w:rsidRPr="00DF0284">
        <w:rPr>
          <w:rFonts w:cs="Times New Roman"/>
          <w:i/>
          <w:iCs/>
        </w:rPr>
        <w:t>Doe v. East Lyme Bd. Of Educ.</w:t>
      </w:r>
      <w:r w:rsidRPr="00DF0284">
        <w:rPr>
          <w:rFonts w:cs="Times New Roman"/>
        </w:rPr>
        <w:t>, 790 F.3d 440, 454 (2d Cir. 2015)) (citation omitted).</w:t>
      </w:r>
    </w:p>
  </w:footnote>
  <w:footnote w:id="21">
    <w:p w14:paraId="18CFD26E" w14:textId="77777777" w:rsidR="00E82DBE" w:rsidRDefault="00E82DBE" w:rsidP="00E82DBE">
      <w:pPr>
        <w:pStyle w:val="FootnoteText"/>
      </w:pPr>
      <w:r>
        <w:rPr>
          <w:rStyle w:val="FootnoteReference"/>
        </w:rPr>
        <w:footnoteRef/>
      </w:r>
      <w:r>
        <w:t xml:space="preserve"> </w:t>
      </w:r>
      <w:r w:rsidRPr="00DF0284">
        <w:rPr>
          <w:rFonts w:cs="Times New Roman"/>
          <w:i/>
          <w:iCs/>
        </w:rPr>
        <w:t xml:space="preserve">Florence </w:t>
      </w:r>
      <w:proofErr w:type="spellStart"/>
      <w:r w:rsidRPr="00DF0284">
        <w:rPr>
          <w:rFonts w:cs="Times New Roman"/>
          <w:i/>
          <w:iCs/>
        </w:rPr>
        <w:t>Cty</w:t>
      </w:r>
      <w:proofErr w:type="spellEnd"/>
      <w:r w:rsidRPr="00DF0284">
        <w:rPr>
          <w:rFonts w:cs="Times New Roman"/>
          <w:i/>
          <w:iCs/>
        </w:rPr>
        <w:t xml:space="preserve">. Sch. Dist. Four v. Carter, </w:t>
      </w:r>
      <w:r w:rsidRPr="00DF0284">
        <w:rPr>
          <w:rFonts w:cs="Times New Roman"/>
        </w:rPr>
        <w:t>510 U.S. 7, 16 (1993).</w:t>
      </w:r>
    </w:p>
  </w:footnote>
  <w:footnote w:id="22">
    <w:p w14:paraId="77C8820D" w14:textId="77777777" w:rsidR="00E82DBE" w:rsidRDefault="00E82DBE" w:rsidP="00E82DBE">
      <w:pPr>
        <w:pStyle w:val="FootnoteText"/>
      </w:pPr>
      <w:r w:rsidRPr="00DF0284">
        <w:rPr>
          <w:rStyle w:val="FootnoteReference"/>
        </w:rPr>
        <w:footnoteRef/>
      </w:r>
      <w:r w:rsidRPr="00DF0284">
        <w:t xml:space="preserve"> </w:t>
      </w:r>
      <w:r w:rsidRPr="00DF0284">
        <w:rPr>
          <w:rFonts w:cs="Times New Roman"/>
          <w:i/>
          <w:iCs/>
        </w:rPr>
        <w:t xml:space="preserve">See </w:t>
      </w:r>
      <w:proofErr w:type="spellStart"/>
      <w:r w:rsidRPr="00DF0284">
        <w:rPr>
          <w:rFonts w:cs="Times New Roman"/>
          <w:i/>
          <w:iCs/>
        </w:rPr>
        <w:t>Polera</w:t>
      </w:r>
      <w:proofErr w:type="spellEnd"/>
      <w:r w:rsidRPr="00DF0284">
        <w:rPr>
          <w:rFonts w:cs="Times New Roman"/>
          <w:i/>
          <w:iCs/>
        </w:rPr>
        <w:t xml:space="preserve"> v. Bd. of Educ. of Newburgh Enlarged City Sch. Dist</w:t>
      </w:r>
      <w:r w:rsidRPr="00DF0284">
        <w:rPr>
          <w:rFonts w:cs="Times New Roman"/>
        </w:rPr>
        <w:t xml:space="preserve">., 288 F.3d 478, 486 (2d Cir. 2002). </w:t>
      </w:r>
    </w:p>
  </w:footnote>
  <w:footnote w:id="23">
    <w:p w14:paraId="6232207C" w14:textId="77777777" w:rsidR="00E82DBE" w:rsidRPr="00DF0284" w:rsidRDefault="00E82DBE" w:rsidP="00E82DBE">
      <w:pPr>
        <w:pStyle w:val="FootnoteText"/>
      </w:pPr>
      <w:r w:rsidRPr="00DF0284">
        <w:rPr>
          <w:rStyle w:val="FootnoteReference"/>
        </w:rPr>
        <w:footnoteRef/>
      </w:r>
      <w:r w:rsidRPr="00DF0284">
        <w:t xml:space="preserve"> </w:t>
      </w:r>
      <w:r w:rsidRPr="00DF0284">
        <w:rPr>
          <w:i/>
          <w:iCs/>
        </w:rPr>
        <w:t>Doe v. East Lyme</w:t>
      </w:r>
      <w:r w:rsidRPr="00DF0284">
        <w:t>, 790 F.3d at 454.</w:t>
      </w:r>
    </w:p>
  </w:footnote>
  <w:footnote w:id="24">
    <w:p w14:paraId="38152750" w14:textId="77777777" w:rsidR="00E82DBE" w:rsidRPr="006F3879" w:rsidRDefault="00E82DBE" w:rsidP="00E82DBE">
      <w:pPr>
        <w:pStyle w:val="FootnoteText"/>
        <w:spacing w:after="60"/>
      </w:pPr>
      <w:r w:rsidRPr="006F3879">
        <w:rPr>
          <w:rStyle w:val="FootnoteReference"/>
        </w:rPr>
        <w:footnoteRef/>
      </w:r>
      <w:r w:rsidRPr="006F3879">
        <w:t xml:space="preserve"> </w:t>
      </w:r>
      <w:r>
        <w:rPr>
          <w:i/>
          <w:iCs/>
        </w:rPr>
        <w:t>S</w:t>
      </w:r>
      <w:r w:rsidRPr="006F3879">
        <w:rPr>
          <w:i/>
          <w:iCs/>
        </w:rPr>
        <w:t>ee</w:t>
      </w:r>
      <w:r w:rsidRPr="006F3879">
        <w:t xml:space="preserve">, </w:t>
      </w:r>
      <w:r w:rsidRPr="006F3879">
        <w:rPr>
          <w:i/>
          <w:iCs/>
        </w:rPr>
        <w:t>e.g.</w:t>
      </w:r>
      <w:r w:rsidRPr="006F3879">
        <w:t xml:space="preserve">, </w:t>
      </w:r>
      <w:r w:rsidRPr="006F3879">
        <w:rPr>
          <w:rFonts w:cs="Times New Roman"/>
          <w:i/>
          <w:iCs/>
          <w:color w:val="000000"/>
          <w:shd w:val="clear" w:color="auto" w:fill="FFFFFF"/>
        </w:rPr>
        <w:t>Application of a Student with a Disability</w:t>
      </w:r>
      <w:r w:rsidRPr="006F3879">
        <w:rPr>
          <w:rFonts w:cs="Times New Roman"/>
          <w:color w:val="000000"/>
          <w:shd w:val="clear" w:color="auto" w:fill="FFFFFF"/>
        </w:rPr>
        <w:t>, Appeal No. 20-115</w:t>
      </w:r>
      <w:r>
        <w:rPr>
          <w:rFonts w:cs="Times New Roman"/>
          <w:color w:val="000000"/>
          <w:shd w:val="clear" w:color="auto" w:fill="FFFFFF"/>
        </w:rPr>
        <w:t>.</w:t>
      </w:r>
    </w:p>
  </w:footnote>
  <w:footnote w:id="25">
    <w:p w14:paraId="1E9201FB" w14:textId="77777777" w:rsidR="00E82DBE" w:rsidRPr="006F3879" w:rsidRDefault="00E82DBE" w:rsidP="00E82DBE">
      <w:pPr>
        <w:spacing w:after="60" w:line="240" w:lineRule="auto"/>
        <w:rPr>
          <w:sz w:val="20"/>
          <w:szCs w:val="20"/>
        </w:rPr>
      </w:pPr>
      <w:r w:rsidRPr="006F3879">
        <w:rPr>
          <w:rStyle w:val="FootnoteReference"/>
          <w:sz w:val="20"/>
          <w:szCs w:val="20"/>
        </w:rPr>
        <w:footnoteRef/>
      </w:r>
      <w:r w:rsidRPr="006F3879">
        <w:rPr>
          <w:sz w:val="20"/>
          <w:szCs w:val="20"/>
        </w:rPr>
        <w:t xml:space="preserve"> </w:t>
      </w:r>
      <w:r w:rsidRPr="006F3879">
        <w:rPr>
          <w:i/>
          <w:iCs/>
          <w:sz w:val="20"/>
          <w:szCs w:val="20"/>
        </w:rPr>
        <w:t>See</w:t>
      </w:r>
      <w:r w:rsidRPr="006F3879">
        <w:rPr>
          <w:sz w:val="20"/>
          <w:szCs w:val="20"/>
        </w:rPr>
        <w:t xml:space="preserve">, </w:t>
      </w:r>
      <w:r w:rsidRPr="006F3879">
        <w:rPr>
          <w:i/>
          <w:iCs/>
          <w:sz w:val="20"/>
          <w:szCs w:val="20"/>
        </w:rPr>
        <w:t>e.g.</w:t>
      </w:r>
      <w:r w:rsidRPr="006F3879">
        <w:rPr>
          <w:sz w:val="20"/>
          <w:szCs w:val="20"/>
        </w:rPr>
        <w:t>,</w:t>
      </w:r>
      <w:r w:rsidRPr="006F3879">
        <w:rPr>
          <w:i/>
          <w:iCs/>
          <w:sz w:val="20"/>
          <w:szCs w:val="20"/>
        </w:rPr>
        <w:t xml:space="preserve"> Foster v. Bd. of Educ. Of the City of Chicago</w:t>
      </w:r>
      <w:r w:rsidRPr="006F3879">
        <w:rPr>
          <w:sz w:val="20"/>
          <w:szCs w:val="20"/>
        </w:rPr>
        <w:t xml:space="preserve">, 611 Fed. </w:t>
      </w:r>
      <w:proofErr w:type="spellStart"/>
      <w:r w:rsidRPr="006F3879">
        <w:rPr>
          <w:sz w:val="20"/>
          <w:szCs w:val="20"/>
        </w:rPr>
        <w:t>App.’x</w:t>
      </w:r>
      <w:proofErr w:type="spellEnd"/>
      <w:r w:rsidRPr="006F3879">
        <w:rPr>
          <w:sz w:val="20"/>
          <w:szCs w:val="20"/>
        </w:rPr>
        <w:t xml:space="preserve"> 874, 878-79 (7</w:t>
      </w:r>
      <w:r w:rsidRPr="006F3879">
        <w:rPr>
          <w:sz w:val="20"/>
          <w:szCs w:val="20"/>
          <w:vertAlign w:val="superscript"/>
        </w:rPr>
        <w:t>th</w:t>
      </w:r>
      <w:r w:rsidRPr="006F3879">
        <w:rPr>
          <w:sz w:val="20"/>
          <w:szCs w:val="20"/>
        </w:rPr>
        <w:t xml:space="preserve"> Cir. 2015)</w:t>
      </w:r>
      <w:r>
        <w:rPr>
          <w:sz w:val="20"/>
          <w:szCs w:val="20"/>
        </w:rPr>
        <w:t>.</w:t>
      </w:r>
      <w:r w:rsidRPr="006F3879">
        <w:rPr>
          <w:sz w:val="20"/>
          <w:szCs w:val="20"/>
        </w:rPr>
        <w:t xml:space="preserve"> (compensatory education includes reimbursement for out-out-pocket educational expenses); </w:t>
      </w:r>
      <w:r w:rsidRPr="006F3879">
        <w:rPr>
          <w:i/>
          <w:iCs/>
          <w:sz w:val="20"/>
          <w:szCs w:val="20"/>
        </w:rPr>
        <w:t xml:space="preserve">see also P.V. </w:t>
      </w:r>
      <w:r>
        <w:rPr>
          <w:i/>
          <w:iCs/>
          <w:sz w:val="20"/>
          <w:szCs w:val="20"/>
        </w:rPr>
        <w:t xml:space="preserve">v. </w:t>
      </w:r>
      <w:r w:rsidRPr="006F3879">
        <w:rPr>
          <w:i/>
          <w:iCs/>
          <w:sz w:val="20"/>
          <w:szCs w:val="20"/>
        </w:rPr>
        <w:t>Newington Bd. of Educ.</w:t>
      </w:r>
      <w:r w:rsidRPr="006F3879">
        <w:rPr>
          <w:sz w:val="20"/>
          <w:szCs w:val="20"/>
        </w:rPr>
        <w:t>, 546 F.3d 111, 123 (2d Cir. 2008) (compensatory education is an appropriate remedy for a denial of FAPE).</w:t>
      </w:r>
    </w:p>
  </w:footnote>
  <w:footnote w:id="26">
    <w:p w14:paraId="6262AC75" w14:textId="77777777" w:rsidR="00E82DBE" w:rsidRDefault="00E82DBE" w:rsidP="00E82DBE">
      <w:pPr>
        <w:pStyle w:val="FootnoteText"/>
        <w:spacing w:after="60"/>
      </w:pPr>
      <w:r>
        <w:rPr>
          <w:rStyle w:val="FootnoteReference"/>
        </w:rPr>
        <w:footnoteRef/>
      </w:r>
      <w:r>
        <w:t xml:space="preserve"> </w:t>
      </w:r>
      <w:r w:rsidRPr="00A12660">
        <w:rPr>
          <w:i/>
          <w:iCs/>
        </w:rPr>
        <w:t>E</w:t>
      </w:r>
      <w:r>
        <w:rPr>
          <w:i/>
          <w:iCs/>
        </w:rPr>
        <w:t>ast</w:t>
      </w:r>
      <w:r w:rsidRPr="00A12660">
        <w:rPr>
          <w:i/>
          <w:iCs/>
        </w:rPr>
        <w:t xml:space="preserve"> Lyme Bd. of Educ</w:t>
      </w:r>
      <w:r w:rsidRPr="00A12660">
        <w:t xml:space="preserve">., 790 F.3d </w:t>
      </w:r>
      <w:r>
        <w:t>at</w:t>
      </w:r>
      <w:r w:rsidRPr="00A12660">
        <w:t xml:space="preserve"> 454 </w:t>
      </w:r>
      <w:r>
        <w:t>(</w:t>
      </w:r>
      <w:r w:rsidRPr="00A12660">
        <w:t>citation omitted).</w:t>
      </w:r>
    </w:p>
  </w:footnote>
  <w:footnote w:id="27">
    <w:p w14:paraId="7E7F0022" w14:textId="77777777" w:rsidR="00E82DBE" w:rsidRPr="00EF78A3" w:rsidRDefault="00E82DBE" w:rsidP="00E82DBE">
      <w:pPr>
        <w:pStyle w:val="FootnoteText"/>
        <w:rPr>
          <w:rFonts w:cs="Times New Roman"/>
          <w:szCs w:val="24"/>
        </w:rPr>
      </w:pPr>
      <w:r>
        <w:rPr>
          <w:rStyle w:val="FootnoteReference"/>
        </w:rPr>
        <w:footnoteRef/>
      </w:r>
      <w:r>
        <w:t xml:space="preserve"> </w:t>
      </w:r>
      <w:r w:rsidRPr="00AC0A03">
        <w:rPr>
          <w:rFonts w:cs="Times New Roman"/>
          <w:i/>
          <w:iCs/>
          <w:szCs w:val="24"/>
        </w:rPr>
        <w:t>Frank G.</w:t>
      </w:r>
      <w:r w:rsidRPr="007676A1">
        <w:rPr>
          <w:rFonts w:cs="Times New Roman"/>
          <w:szCs w:val="24"/>
        </w:rPr>
        <w:t xml:space="preserve">, 459 F.3d at 364; see </w:t>
      </w:r>
      <w:proofErr w:type="spellStart"/>
      <w:r w:rsidRPr="00AC0A03">
        <w:rPr>
          <w:rFonts w:cs="Times New Roman"/>
          <w:i/>
          <w:iCs/>
          <w:szCs w:val="24"/>
        </w:rPr>
        <w:t>Gagliardo</w:t>
      </w:r>
      <w:proofErr w:type="spellEnd"/>
      <w:r w:rsidRPr="007676A1">
        <w:rPr>
          <w:rFonts w:cs="Times New Roman"/>
          <w:szCs w:val="24"/>
        </w:rPr>
        <w:t>, 489 F.3d at 115</w:t>
      </w:r>
      <w:r>
        <w:rPr>
          <w:rFonts w:cs="Times New Roman"/>
          <w:szCs w:val="24"/>
        </w:rPr>
        <w:t>.</w:t>
      </w:r>
    </w:p>
  </w:footnote>
  <w:footnote w:id="28">
    <w:p w14:paraId="69350D50" w14:textId="77777777" w:rsidR="00E82DBE" w:rsidRDefault="00E82DBE" w:rsidP="00E82DBE">
      <w:pPr>
        <w:pStyle w:val="FootnoteText"/>
      </w:pPr>
      <w:r>
        <w:rPr>
          <w:rStyle w:val="FootnoteReference"/>
        </w:rPr>
        <w:footnoteRef/>
      </w:r>
      <w:r>
        <w:t xml:space="preserve"> </w:t>
      </w:r>
      <w:r w:rsidRPr="007676A1">
        <w:rPr>
          <w:rFonts w:cs="Times New Roman"/>
          <w:szCs w:val="24"/>
        </w:rPr>
        <w:t>20 U.S.C. § 1401</w:t>
      </w:r>
      <w:r>
        <w:rPr>
          <w:rFonts w:cs="Times New Roman"/>
          <w:szCs w:val="24"/>
        </w:rPr>
        <w:t>(</w:t>
      </w:r>
      <w:r w:rsidRPr="007676A1">
        <w:rPr>
          <w:rFonts w:cs="Times New Roman"/>
          <w:szCs w:val="24"/>
        </w:rPr>
        <w:t>29</w:t>
      </w:r>
      <w:r>
        <w:rPr>
          <w:rFonts w:cs="Times New Roman"/>
          <w:szCs w:val="24"/>
        </w:rPr>
        <w:t>)</w:t>
      </w:r>
      <w:r w:rsidRPr="007676A1">
        <w:rPr>
          <w:rFonts w:cs="Times New Roman"/>
          <w:szCs w:val="24"/>
        </w:rPr>
        <w:t>; Educ. Law § 4401</w:t>
      </w:r>
      <w:r>
        <w:rPr>
          <w:rFonts w:cs="Times New Roman"/>
          <w:szCs w:val="24"/>
        </w:rPr>
        <w:t>(</w:t>
      </w:r>
      <w:r w:rsidRPr="007676A1">
        <w:rPr>
          <w:rFonts w:cs="Times New Roman"/>
          <w:szCs w:val="24"/>
        </w:rPr>
        <w:t>1</w:t>
      </w:r>
      <w:r>
        <w:rPr>
          <w:rFonts w:cs="Times New Roman"/>
          <w:szCs w:val="24"/>
        </w:rPr>
        <w:t>)</w:t>
      </w:r>
      <w:r w:rsidRPr="007676A1">
        <w:rPr>
          <w:rFonts w:cs="Times New Roman"/>
          <w:szCs w:val="24"/>
        </w:rPr>
        <w:t>; 34 CFR 300.39</w:t>
      </w:r>
      <w:r>
        <w:rPr>
          <w:rFonts w:cs="Times New Roman"/>
          <w:szCs w:val="24"/>
        </w:rPr>
        <w:t>(</w:t>
      </w:r>
      <w:r w:rsidRPr="007676A1">
        <w:rPr>
          <w:rFonts w:cs="Times New Roman"/>
          <w:szCs w:val="24"/>
        </w:rPr>
        <w:t>a</w:t>
      </w:r>
      <w:r>
        <w:rPr>
          <w:rFonts w:cs="Times New Roman"/>
          <w:szCs w:val="24"/>
        </w:rPr>
        <w:t>)(</w:t>
      </w:r>
      <w:r w:rsidRPr="007676A1">
        <w:rPr>
          <w:rFonts w:cs="Times New Roman"/>
          <w:szCs w:val="24"/>
        </w:rPr>
        <w:t>1</w:t>
      </w:r>
      <w:r>
        <w:rPr>
          <w:rFonts w:cs="Times New Roman"/>
          <w:szCs w:val="24"/>
        </w:rPr>
        <w:t>)</w:t>
      </w:r>
      <w:r w:rsidRPr="007676A1">
        <w:rPr>
          <w:rFonts w:cs="Times New Roman"/>
          <w:szCs w:val="24"/>
        </w:rPr>
        <w:t>; 8 NYCRR 200.1</w:t>
      </w:r>
      <w:r>
        <w:rPr>
          <w:rFonts w:cs="Times New Roman"/>
          <w:szCs w:val="24"/>
        </w:rPr>
        <w:t>(</w:t>
      </w:r>
      <w:r w:rsidRPr="007676A1">
        <w:rPr>
          <w:rFonts w:cs="Times New Roman"/>
          <w:szCs w:val="24"/>
        </w:rPr>
        <w:t>ww</w:t>
      </w:r>
      <w:r>
        <w:rPr>
          <w:rFonts w:cs="Times New Roman"/>
          <w:szCs w:val="24"/>
        </w:rPr>
        <w:t>)</w:t>
      </w:r>
      <w:r w:rsidRPr="007676A1">
        <w:rPr>
          <w:rFonts w:cs="Times New Roman"/>
          <w:szCs w:val="24"/>
        </w:rPr>
        <w:t xml:space="preserve">; </w:t>
      </w:r>
      <w:r w:rsidRPr="00AC0A03">
        <w:rPr>
          <w:rFonts w:cs="Times New Roman"/>
          <w:i/>
          <w:iCs/>
          <w:szCs w:val="24"/>
        </w:rPr>
        <w:t>Hardison v. Bd. of Educ. of the Oneonta City Sch. Dist.</w:t>
      </w:r>
      <w:r w:rsidRPr="007676A1">
        <w:rPr>
          <w:rFonts w:cs="Times New Roman"/>
          <w:szCs w:val="24"/>
        </w:rPr>
        <w:t xml:space="preserve">, 773 F.3d 372, 386 </w:t>
      </w:r>
      <w:r>
        <w:rPr>
          <w:rFonts w:cs="Times New Roman"/>
          <w:szCs w:val="24"/>
        </w:rPr>
        <w:t>(</w:t>
      </w:r>
      <w:r w:rsidRPr="007676A1">
        <w:rPr>
          <w:rFonts w:cs="Times New Roman"/>
          <w:szCs w:val="24"/>
        </w:rPr>
        <w:t>2d Cir. 2014</w:t>
      </w:r>
      <w:r>
        <w:rPr>
          <w:rFonts w:cs="Times New Roman"/>
          <w:szCs w:val="24"/>
        </w:rPr>
        <w:t>).</w:t>
      </w:r>
    </w:p>
  </w:footnote>
  <w:footnote w:id="29">
    <w:p w14:paraId="334CA4BC" w14:textId="77777777" w:rsidR="00E82DBE" w:rsidRDefault="00E82DBE" w:rsidP="00E82DBE">
      <w:pPr>
        <w:pStyle w:val="FootnoteText"/>
        <w:jc w:val="both"/>
      </w:pPr>
      <w:r>
        <w:rPr>
          <w:rStyle w:val="FootnoteReference"/>
        </w:rPr>
        <w:footnoteRef/>
      </w:r>
      <w:r>
        <w:t xml:space="preserve"> </w:t>
      </w:r>
      <w:r>
        <w:rPr>
          <w:rFonts w:cs="Times New Roman"/>
          <w:i/>
          <w:iCs/>
        </w:rPr>
        <w:t>E.M. v. New York City Dept. of Educ.</w:t>
      </w:r>
      <w:r>
        <w:rPr>
          <w:rFonts w:cs="Times New Roman"/>
        </w:rPr>
        <w:t>, 758 F.3d 442, 451 [2d Cir. 2014]. The Second Circuit has stated, “[t]he IDEA allows a hearing officer to fashion an appropriate remedy, and we have held compensatory education is an available option under the Act to make up for denial of a free and appropriate public education” (</w:t>
      </w:r>
      <w:r>
        <w:rPr>
          <w:rFonts w:cs="Times New Roman"/>
          <w:i/>
          <w:iCs/>
        </w:rPr>
        <w:t>P. ex rel. Mr. &amp; Mrs. P. v. Newington Bd. of Educ.,</w:t>
      </w:r>
      <w:r>
        <w:rPr>
          <w:rFonts w:cs="Times New Roman"/>
        </w:rPr>
        <w:t xml:space="preserve"> 546 F.3d 111, 123 (2d Cir. 2008).</w:t>
      </w:r>
    </w:p>
  </w:footnote>
  <w:footnote w:id="30">
    <w:p w14:paraId="1E587EA4" w14:textId="77777777" w:rsidR="00E82DBE" w:rsidRDefault="00E82DBE" w:rsidP="00E82DBE">
      <w:pPr>
        <w:pStyle w:val="FootnoteText"/>
        <w:jc w:val="both"/>
      </w:pPr>
      <w:r>
        <w:rPr>
          <w:rStyle w:val="FootnoteReference"/>
        </w:rPr>
        <w:footnoteRef/>
      </w:r>
      <w:r>
        <w:t xml:space="preserve"> </w:t>
      </w:r>
      <w:r>
        <w:rPr>
          <w:rFonts w:cs="Times New Roman"/>
          <w:i/>
          <w:iCs/>
        </w:rPr>
        <w:t xml:space="preserve">Somoza v. New York City Dept. of Educ., </w:t>
      </w:r>
      <w:r>
        <w:rPr>
          <w:rFonts w:cs="Times New Roman"/>
        </w:rPr>
        <w:t>538 F.3d 106, 109 n.2 [2d Cir. 2008].</w:t>
      </w:r>
    </w:p>
  </w:footnote>
  <w:footnote w:id="31">
    <w:p w14:paraId="43FF11D9" w14:textId="77777777" w:rsidR="00E82DBE" w:rsidRDefault="00E82DBE" w:rsidP="00E82DBE">
      <w:pPr>
        <w:pStyle w:val="FootnoteText"/>
        <w:jc w:val="both"/>
      </w:pPr>
      <w:r>
        <w:rPr>
          <w:rStyle w:val="FootnoteReference"/>
        </w:rPr>
        <w:footnoteRef/>
      </w:r>
      <w:r>
        <w:t xml:space="preserve"> </w:t>
      </w:r>
      <w:r>
        <w:rPr>
          <w:rFonts w:cs="Times New Roman"/>
          <w:i/>
          <w:iCs/>
        </w:rPr>
        <w:t>See, e.g.</w:t>
      </w:r>
      <w:r>
        <w:rPr>
          <w:rFonts w:cs="Times New Roman"/>
        </w:rPr>
        <w:t xml:space="preserve">, </w:t>
      </w:r>
      <w:r>
        <w:rPr>
          <w:rFonts w:cs="Times New Roman"/>
          <w:i/>
          <w:iCs/>
        </w:rPr>
        <w:t>M.C. ex rel. J.C. v. Cent. Reg’l Sch. Dist.</w:t>
      </w:r>
      <w:r>
        <w:rPr>
          <w:rFonts w:cs="Times New Roman"/>
        </w:rPr>
        <w:t>, 81 F.3d 389 [3d Cir. 1996] (holding that a student denied a FAPE is entitled to compensatory education equal to the period of deprivation).</w:t>
      </w:r>
    </w:p>
  </w:footnote>
  <w:footnote w:id="32">
    <w:p w14:paraId="2B5C9B7C" w14:textId="77777777" w:rsidR="00E82DBE" w:rsidRDefault="00E82DBE" w:rsidP="00E82DBE">
      <w:pPr>
        <w:pStyle w:val="FootnoteText"/>
        <w:jc w:val="both"/>
      </w:pPr>
      <w:r>
        <w:rPr>
          <w:rStyle w:val="FootnoteReference"/>
        </w:rPr>
        <w:footnoteRef/>
      </w:r>
      <w:r>
        <w:t xml:space="preserve"> </w:t>
      </w:r>
      <w:r>
        <w:rPr>
          <w:rFonts w:cs="Times New Roman"/>
          <w:i/>
          <w:iCs/>
        </w:rPr>
        <w:t>See, e.g.</w:t>
      </w:r>
      <w:r>
        <w:rPr>
          <w:rFonts w:cs="Times New Roman"/>
        </w:rPr>
        <w:t xml:space="preserve">, </w:t>
      </w:r>
      <w:r>
        <w:rPr>
          <w:rFonts w:cs="Times New Roman"/>
          <w:i/>
          <w:iCs/>
        </w:rPr>
        <w:t>Reid</w:t>
      </w:r>
      <w:r>
        <w:rPr>
          <w:rFonts w:cs="Times New Roman"/>
        </w:rPr>
        <w:t xml:space="preserve"> </w:t>
      </w:r>
      <w:r>
        <w:rPr>
          <w:rFonts w:cs="Times New Roman"/>
          <w:i/>
          <w:iCs/>
        </w:rPr>
        <w:t>ex rel. Reid</w:t>
      </w:r>
      <w:r>
        <w:rPr>
          <w:rFonts w:cs="Times New Roman"/>
        </w:rPr>
        <w:t xml:space="preserve"> </w:t>
      </w:r>
      <w:r>
        <w:rPr>
          <w:rFonts w:cs="Times New Roman"/>
          <w:i/>
          <w:iCs/>
        </w:rPr>
        <w:t xml:space="preserve">v. Dist. of Columbia, </w:t>
      </w:r>
      <w:r>
        <w:rPr>
          <w:rFonts w:cs="Times New Roman"/>
        </w:rPr>
        <w:t>401 F.3d 516, 518, 524 (D.C. Cir. 2005) (requiring a flexible, fact-specific approach in which the award relies “on individual assessments” and is “reasonably calculated to provide the educational benefits that likely would have accrued from special education services the school district should have supplied in the first place.”).</w:t>
      </w:r>
    </w:p>
  </w:footnote>
  <w:footnote w:id="33">
    <w:p w14:paraId="1AC59BDF" w14:textId="77777777" w:rsidR="00E82DBE" w:rsidRDefault="00E82DBE" w:rsidP="00E82DBE">
      <w:pPr>
        <w:pStyle w:val="FootnoteText"/>
        <w:jc w:val="both"/>
      </w:pPr>
      <w:r>
        <w:rPr>
          <w:rStyle w:val="FootnoteReference"/>
        </w:rPr>
        <w:footnoteRef/>
      </w:r>
      <w:r>
        <w:t xml:space="preserve"> </w:t>
      </w:r>
      <w:r>
        <w:rPr>
          <w:rFonts w:cs="Times New Roman"/>
          <w:i/>
          <w:iCs/>
        </w:rPr>
        <w:t>Doe v. East Lyme</w:t>
      </w:r>
      <w:r>
        <w:rPr>
          <w:rFonts w:cs="Times New Roman"/>
        </w:rPr>
        <w:t xml:space="preserve">, 790 F.3d at 454, 457; </w:t>
      </w:r>
      <w:r>
        <w:rPr>
          <w:rFonts w:cs="Times New Roman"/>
          <w:i/>
          <w:iCs/>
        </w:rPr>
        <w:t>accord</w:t>
      </w:r>
      <w:r>
        <w:rPr>
          <w:rFonts w:cs="Times New Roman"/>
        </w:rPr>
        <w:t xml:space="preserve"> </w:t>
      </w:r>
      <w:r>
        <w:rPr>
          <w:rFonts w:cs="Times New Roman"/>
          <w:i/>
          <w:iCs/>
        </w:rPr>
        <w:t>L.O. ex rel. K.T. v. New York City Dept. of Educ.</w:t>
      </w:r>
      <w:r>
        <w:rPr>
          <w:rFonts w:cs="Times New Roman"/>
        </w:rPr>
        <w:t xml:space="preserve">, 822 F.3d 95, 125 (2d Cir. 2016); </w:t>
      </w:r>
      <w:r>
        <w:rPr>
          <w:rFonts w:cs="Times New Roman"/>
          <w:i/>
          <w:iCs/>
        </w:rPr>
        <w:t>see also Student X. v. New York City Dept. of Educ.,</w:t>
      </w:r>
      <w:r>
        <w:rPr>
          <w:rFonts w:cs="Times New Roman"/>
        </w:rPr>
        <w:t xml:space="preserve"> 2008 WL 4890440, at *26 (E.D.N.Y 2008) (noting that “the Second Circuit has not articulated a test for determining how [compensatory education] services are calculated,” and awarding compensatory relief equal to the amount of time the student was deprived of services). </w:t>
      </w:r>
    </w:p>
  </w:footnote>
  <w:footnote w:id="34">
    <w:p w14:paraId="29F979DA" w14:textId="77777777" w:rsidR="00E82DBE" w:rsidRDefault="00E82DBE" w:rsidP="00E82DBE">
      <w:pPr>
        <w:pStyle w:val="FootnoteText"/>
      </w:pPr>
      <w:r>
        <w:rPr>
          <w:rStyle w:val="FootnoteReference"/>
        </w:rPr>
        <w:footnoteRef/>
      </w:r>
      <w:r>
        <w:t xml:space="preserve"> </w:t>
      </w:r>
      <w:r>
        <w:rPr>
          <w:rFonts w:cs="Times New Roman"/>
          <w:i/>
          <w:iCs/>
        </w:rPr>
        <w:t>Doe. v. East Lyme</w:t>
      </w:r>
      <w:r>
        <w:rPr>
          <w:rFonts w:cs="Times New Roman"/>
        </w:rPr>
        <w:t>, 790 F.3d at 457 (internal citations omitted).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46A91C5C" w:rsidR="003477D8" w:rsidRDefault="003477D8"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5C37FAD9" w14:textId="1988BC3E" w:rsidR="008D7A51" w:rsidRDefault="20FC5881" w:rsidP="00CE7FDC">
    <w:pPr>
      <w:pStyle w:val="Header"/>
      <w:pBdr>
        <w:bottom w:val="single" w:sz="6" w:space="0" w:color="auto"/>
      </w:pBdr>
      <w:rPr>
        <w:sz w:val="18"/>
        <w:szCs w:val="18"/>
      </w:rPr>
    </w:pPr>
    <w:r w:rsidRPr="20FC5881">
      <w:rPr>
        <w:sz w:val="18"/>
        <w:szCs w:val="18"/>
      </w:rPr>
      <w:t>Case No.</w:t>
    </w:r>
    <w:r w:rsidR="005323D4" w:rsidRPr="005323D4">
      <w:t xml:space="preserve"> </w:t>
    </w:r>
    <w:r w:rsidR="00CE7FDC" w:rsidRPr="00CE7FDC">
      <w:rPr>
        <w:sz w:val="20"/>
        <w:szCs w:val="18"/>
      </w:rPr>
      <w:t>274415</w:t>
    </w:r>
  </w:p>
  <w:p w14:paraId="6E582011" w14:textId="77777777" w:rsidR="003477D8" w:rsidRDefault="003477D8" w:rsidP="00D44086">
    <w:pPr>
      <w:pStyle w:val="Header"/>
    </w:pPr>
  </w:p>
  <w:p w14:paraId="410AF7AA" w14:textId="4DBECC5E" w:rsidR="003477D8" w:rsidRDefault="00347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FC5881" w14:paraId="75A74D77" w14:textId="77777777" w:rsidTr="20FC5881">
      <w:trPr>
        <w:trHeight w:val="300"/>
      </w:trPr>
      <w:tc>
        <w:tcPr>
          <w:tcW w:w="3120" w:type="dxa"/>
        </w:tcPr>
        <w:p w14:paraId="1CA95CC3" w14:textId="2F8AB88D" w:rsidR="20FC5881" w:rsidRDefault="20FC5881" w:rsidP="20FC5881">
          <w:pPr>
            <w:pStyle w:val="Header"/>
            <w:ind w:left="-115"/>
          </w:pPr>
        </w:p>
      </w:tc>
      <w:tc>
        <w:tcPr>
          <w:tcW w:w="3120" w:type="dxa"/>
        </w:tcPr>
        <w:p w14:paraId="6A897804" w14:textId="7966E4AE" w:rsidR="20FC5881" w:rsidRDefault="20FC5881" w:rsidP="20FC5881">
          <w:pPr>
            <w:pStyle w:val="Header"/>
            <w:jc w:val="center"/>
          </w:pPr>
        </w:p>
      </w:tc>
      <w:tc>
        <w:tcPr>
          <w:tcW w:w="3120" w:type="dxa"/>
        </w:tcPr>
        <w:p w14:paraId="580ED30F" w14:textId="48C33E6C" w:rsidR="20FC5881" w:rsidRDefault="20FC5881" w:rsidP="20FC5881">
          <w:pPr>
            <w:pStyle w:val="Header"/>
            <w:ind w:right="-115"/>
            <w:jc w:val="right"/>
          </w:pPr>
        </w:p>
      </w:tc>
    </w:tr>
  </w:tbl>
  <w:p w14:paraId="431B4368" w14:textId="5BA0D041" w:rsidR="20FC5881" w:rsidRDefault="20FC5881" w:rsidP="20FC5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C98"/>
    <w:multiLevelType w:val="hybridMultilevel"/>
    <w:tmpl w:val="06C05C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60A5"/>
    <w:multiLevelType w:val="hybridMultilevel"/>
    <w:tmpl w:val="D07E1B34"/>
    <w:lvl w:ilvl="0" w:tplc="DB944FA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F31"/>
    <w:multiLevelType w:val="hybridMultilevel"/>
    <w:tmpl w:val="C55E3B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25F56"/>
    <w:multiLevelType w:val="hybridMultilevel"/>
    <w:tmpl w:val="9806C38C"/>
    <w:lvl w:ilvl="0" w:tplc="46746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82343"/>
    <w:multiLevelType w:val="hybridMultilevel"/>
    <w:tmpl w:val="1A92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75EE5"/>
    <w:multiLevelType w:val="hybridMultilevel"/>
    <w:tmpl w:val="F52AF9F2"/>
    <w:lvl w:ilvl="0" w:tplc="514EA730">
      <w:start w:val="1"/>
      <w:numFmt w:val="lowerLetter"/>
      <w:lvlText w:val="(%1)"/>
      <w:lvlJc w:val="left"/>
      <w:pPr>
        <w:ind w:left="2160" w:hanging="720"/>
      </w:pPr>
      <w:rPr>
        <w:rFonts w:ascii="Times New Roman" w:hAnsi="Times New Roman" w:cs="Times New Roman"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37985278">
    <w:abstractNumId w:val="3"/>
  </w:num>
  <w:num w:numId="2" w16cid:durableId="233857913">
    <w:abstractNumId w:val="5"/>
  </w:num>
  <w:num w:numId="3" w16cid:durableId="875771457">
    <w:abstractNumId w:val="1"/>
  </w:num>
  <w:num w:numId="4" w16cid:durableId="250314442">
    <w:abstractNumId w:val="2"/>
  </w:num>
  <w:num w:numId="5" w16cid:durableId="804814504">
    <w:abstractNumId w:val="4"/>
  </w:num>
  <w:num w:numId="6" w16cid:durableId="2053992225">
    <w:abstractNumId w:val="0"/>
  </w:num>
  <w:num w:numId="7" w16cid:durableId="1339962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0FBB"/>
    <w:rsid w:val="00001431"/>
    <w:rsid w:val="00001B74"/>
    <w:rsid w:val="0000374A"/>
    <w:rsid w:val="00003755"/>
    <w:rsid w:val="00003C8A"/>
    <w:rsid w:val="00004603"/>
    <w:rsid w:val="00005C33"/>
    <w:rsid w:val="00006071"/>
    <w:rsid w:val="00006EE5"/>
    <w:rsid w:val="00007095"/>
    <w:rsid w:val="00007577"/>
    <w:rsid w:val="000111BA"/>
    <w:rsid w:val="00011577"/>
    <w:rsid w:val="00012034"/>
    <w:rsid w:val="0001223F"/>
    <w:rsid w:val="00014865"/>
    <w:rsid w:val="000152DC"/>
    <w:rsid w:val="000202A1"/>
    <w:rsid w:val="00020CB4"/>
    <w:rsid w:val="00020D1A"/>
    <w:rsid w:val="0002111E"/>
    <w:rsid w:val="00022F32"/>
    <w:rsid w:val="00023EA8"/>
    <w:rsid w:val="000254D6"/>
    <w:rsid w:val="00025CC0"/>
    <w:rsid w:val="000266E4"/>
    <w:rsid w:val="000269C8"/>
    <w:rsid w:val="00026B42"/>
    <w:rsid w:val="00027DCD"/>
    <w:rsid w:val="0003014B"/>
    <w:rsid w:val="0003085B"/>
    <w:rsid w:val="0003141E"/>
    <w:rsid w:val="00032CE7"/>
    <w:rsid w:val="00033157"/>
    <w:rsid w:val="00036462"/>
    <w:rsid w:val="00036A1F"/>
    <w:rsid w:val="00036A8E"/>
    <w:rsid w:val="00036CDB"/>
    <w:rsid w:val="000374CD"/>
    <w:rsid w:val="000404D5"/>
    <w:rsid w:val="00040F2C"/>
    <w:rsid w:val="00041798"/>
    <w:rsid w:val="00041C06"/>
    <w:rsid w:val="00041E31"/>
    <w:rsid w:val="0004329A"/>
    <w:rsid w:val="000437C7"/>
    <w:rsid w:val="0004526E"/>
    <w:rsid w:val="0004544E"/>
    <w:rsid w:val="000458AD"/>
    <w:rsid w:val="00045D11"/>
    <w:rsid w:val="000472B5"/>
    <w:rsid w:val="00050667"/>
    <w:rsid w:val="00050D17"/>
    <w:rsid w:val="00050EBC"/>
    <w:rsid w:val="000516D3"/>
    <w:rsid w:val="00052980"/>
    <w:rsid w:val="00052FBB"/>
    <w:rsid w:val="00053FF5"/>
    <w:rsid w:val="00054145"/>
    <w:rsid w:val="00054922"/>
    <w:rsid w:val="00055E26"/>
    <w:rsid w:val="000571D4"/>
    <w:rsid w:val="0005782A"/>
    <w:rsid w:val="0006028C"/>
    <w:rsid w:val="00061C10"/>
    <w:rsid w:val="00063318"/>
    <w:rsid w:val="0006367A"/>
    <w:rsid w:val="000640F2"/>
    <w:rsid w:val="000647F9"/>
    <w:rsid w:val="00064B3F"/>
    <w:rsid w:val="000660A3"/>
    <w:rsid w:val="000664B9"/>
    <w:rsid w:val="00071789"/>
    <w:rsid w:val="00072095"/>
    <w:rsid w:val="00073DAE"/>
    <w:rsid w:val="00073EE0"/>
    <w:rsid w:val="00074ADD"/>
    <w:rsid w:val="00074D88"/>
    <w:rsid w:val="00075501"/>
    <w:rsid w:val="00075FFD"/>
    <w:rsid w:val="00076363"/>
    <w:rsid w:val="000767C9"/>
    <w:rsid w:val="000770E3"/>
    <w:rsid w:val="0008085F"/>
    <w:rsid w:val="000811F7"/>
    <w:rsid w:val="00083370"/>
    <w:rsid w:val="00083685"/>
    <w:rsid w:val="00084792"/>
    <w:rsid w:val="000848C9"/>
    <w:rsid w:val="0008533C"/>
    <w:rsid w:val="00085BAB"/>
    <w:rsid w:val="00085D7D"/>
    <w:rsid w:val="00086FD0"/>
    <w:rsid w:val="00087BA4"/>
    <w:rsid w:val="00090774"/>
    <w:rsid w:val="0009285C"/>
    <w:rsid w:val="0009295D"/>
    <w:rsid w:val="00093083"/>
    <w:rsid w:val="000941C7"/>
    <w:rsid w:val="00094C10"/>
    <w:rsid w:val="00094CB4"/>
    <w:rsid w:val="00094CD4"/>
    <w:rsid w:val="00094EAA"/>
    <w:rsid w:val="00094FAC"/>
    <w:rsid w:val="000957C5"/>
    <w:rsid w:val="00095F41"/>
    <w:rsid w:val="00096974"/>
    <w:rsid w:val="0009782D"/>
    <w:rsid w:val="000A01F0"/>
    <w:rsid w:val="000A1A98"/>
    <w:rsid w:val="000A1F82"/>
    <w:rsid w:val="000A3BE3"/>
    <w:rsid w:val="000A4259"/>
    <w:rsid w:val="000A449D"/>
    <w:rsid w:val="000A5C0A"/>
    <w:rsid w:val="000A6EF1"/>
    <w:rsid w:val="000A76C8"/>
    <w:rsid w:val="000B0CFE"/>
    <w:rsid w:val="000B15A4"/>
    <w:rsid w:val="000B1912"/>
    <w:rsid w:val="000B2A18"/>
    <w:rsid w:val="000B33CC"/>
    <w:rsid w:val="000B362F"/>
    <w:rsid w:val="000B4596"/>
    <w:rsid w:val="000B4784"/>
    <w:rsid w:val="000B4D82"/>
    <w:rsid w:val="000B5545"/>
    <w:rsid w:val="000B68E1"/>
    <w:rsid w:val="000B6941"/>
    <w:rsid w:val="000C0365"/>
    <w:rsid w:val="000C047D"/>
    <w:rsid w:val="000C1006"/>
    <w:rsid w:val="000C105C"/>
    <w:rsid w:val="000C23D4"/>
    <w:rsid w:val="000C2490"/>
    <w:rsid w:val="000C3032"/>
    <w:rsid w:val="000C3A40"/>
    <w:rsid w:val="000C3E43"/>
    <w:rsid w:val="000C41DD"/>
    <w:rsid w:val="000C615C"/>
    <w:rsid w:val="000C61F1"/>
    <w:rsid w:val="000C67AA"/>
    <w:rsid w:val="000C76EF"/>
    <w:rsid w:val="000D12EA"/>
    <w:rsid w:val="000D154B"/>
    <w:rsid w:val="000D439D"/>
    <w:rsid w:val="000D5035"/>
    <w:rsid w:val="000D6BE4"/>
    <w:rsid w:val="000D6D4A"/>
    <w:rsid w:val="000D6E91"/>
    <w:rsid w:val="000D7169"/>
    <w:rsid w:val="000D7D76"/>
    <w:rsid w:val="000E3EE2"/>
    <w:rsid w:val="000E5D3C"/>
    <w:rsid w:val="000E5FAE"/>
    <w:rsid w:val="000E719F"/>
    <w:rsid w:val="000F05CA"/>
    <w:rsid w:val="000F1668"/>
    <w:rsid w:val="000F3CC5"/>
    <w:rsid w:val="000F3F42"/>
    <w:rsid w:val="000F4110"/>
    <w:rsid w:val="000F41D2"/>
    <w:rsid w:val="000F59ED"/>
    <w:rsid w:val="000F604E"/>
    <w:rsid w:val="000F6281"/>
    <w:rsid w:val="000F65B2"/>
    <w:rsid w:val="000F6CB9"/>
    <w:rsid w:val="0010139E"/>
    <w:rsid w:val="00101534"/>
    <w:rsid w:val="00101D42"/>
    <w:rsid w:val="00102903"/>
    <w:rsid w:val="0010304B"/>
    <w:rsid w:val="001032C8"/>
    <w:rsid w:val="0010385D"/>
    <w:rsid w:val="001050C9"/>
    <w:rsid w:val="001054AB"/>
    <w:rsid w:val="001062B4"/>
    <w:rsid w:val="001062BF"/>
    <w:rsid w:val="00106366"/>
    <w:rsid w:val="001064FE"/>
    <w:rsid w:val="00106E85"/>
    <w:rsid w:val="00107492"/>
    <w:rsid w:val="00107765"/>
    <w:rsid w:val="00107EFA"/>
    <w:rsid w:val="0011034C"/>
    <w:rsid w:val="001110C3"/>
    <w:rsid w:val="0011130C"/>
    <w:rsid w:val="00111FB3"/>
    <w:rsid w:val="0011223E"/>
    <w:rsid w:val="001127CD"/>
    <w:rsid w:val="00112A05"/>
    <w:rsid w:val="00112B55"/>
    <w:rsid w:val="00114AEC"/>
    <w:rsid w:val="00116271"/>
    <w:rsid w:val="00116A5C"/>
    <w:rsid w:val="00117038"/>
    <w:rsid w:val="00121151"/>
    <w:rsid w:val="00121310"/>
    <w:rsid w:val="00121581"/>
    <w:rsid w:val="00121C34"/>
    <w:rsid w:val="001227C6"/>
    <w:rsid w:val="00123399"/>
    <w:rsid w:val="00126A61"/>
    <w:rsid w:val="00130328"/>
    <w:rsid w:val="00130367"/>
    <w:rsid w:val="00130996"/>
    <w:rsid w:val="0013114B"/>
    <w:rsid w:val="00131341"/>
    <w:rsid w:val="00131A37"/>
    <w:rsid w:val="00131D10"/>
    <w:rsid w:val="00132349"/>
    <w:rsid w:val="001339D4"/>
    <w:rsid w:val="00133B04"/>
    <w:rsid w:val="00133FD6"/>
    <w:rsid w:val="001348E9"/>
    <w:rsid w:val="001349AF"/>
    <w:rsid w:val="0013589E"/>
    <w:rsid w:val="00136F7C"/>
    <w:rsid w:val="001372B6"/>
    <w:rsid w:val="00140574"/>
    <w:rsid w:val="00140845"/>
    <w:rsid w:val="0014108E"/>
    <w:rsid w:val="0014167C"/>
    <w:rsid w:val="00142A07"/>
    <w:rsid w:val="00143AB0"/>
    <w:rsid w:val="00143BBF"/>
    <w:rsid w:val="0014441B"/>
    <w:rsid w:val="00144B31"/>
    <w:rsid w:val="00144B33"/>
    <w:rsid w:val="00150B5E"/>
    <w:rsid w:val="00150E29"/>
    <w:rsid w:val="00150FEE"/>
    <w:rsid w:val="00151198"/>
    <w:rsid w:val="001512E2"/>
    <w:rsid w:val="00151532"/>
    <w:rsid w:val="00152679"/>
    <w:rsid w:val="00152BE8"/>
    <w:rsid w:val="00153D83"/>
    <w:rsid w:val="0015401D"/>
    <w:rsid w:val="0015569C"/>
    <w:rsid w:val="001556FB"/>
    <w:rsid w:val="00156658"/>
    <w:rsid w:val="001569B7"/>
    <w:rsid w:val="00156FE1"/>
    <w:rsid w:val="0015726C"/>
    <w:rsid w:val="00157846"/>
    <w:rsid w:val="00157852"/>
    <w:rsid w:val="00157B25"/>
    <w:rsid w:val="00160036"/>
    <w:rsid w:val="00161439"/>
    <w:rsid w:val="0016202F"/>
    <w:rsid w:val="001626F4"/>
    <w:rsid w:val="00163826"/>
    <w:rsid w:val="001643DB"/>
    <w:rsid w:val="001656AF"/>
    <w:rsid w:val="001656C3"/>
    <w:rsid w:val="00165B9A"/>
    <w:rsid w:val="00165E92"/>
    <w:rsid w:val="00166463"/>
    <w:rsid w:val="001677A2"/>
    <w:rsid w:val="001705C5"/>
    <w:rsid w:val="00170C28"/>
    <w:rsid w:val="00170DC0"/>
    <w:rsid w:val="00171ABE"/>
    <w:rsid w:val="00171D99"/>
    <w:rsid w:val="00172279"/>
    <w:rsid w:val="00172AE6"/>
    <w:rsid w:val="001735DF"/>
    <w:rsid w:val="001742CA"/>
    <w:rsid w:val="00175615"/>
    <w:rsid w:val="001765B2"/>
    <w:rsid w:val="00176C58"/>
    <w:rsid w:val="00177846"/>
    <w:rsid w:val="001813EF"/>
    <w:rsid w:val="001815B0"/>
    <w:rsid w:val="0018175C"/>
    <w:rsid w:val="00181F81"/>
    <w:rsid w:val="00182033"/>
    <w:rsid w:val="00182214"/>
    <w:rsid w:val="00182FAD"/>
    <w:rsid w:val="00183B38"/>
    <w:rsid w:val="0018470C"/>
    <w:rsid w:val="00187875"/>
    <w:rsid w:val="00190DCE"/>
    <w:rsid w:val="00191CC0"/>
    <w:rsid w:val="00192B71"/>
    <w:rsid w:val="00192BEB"/>
    <w:rsid w:val="00194375"/>
    <w:rsid w:val="00194EAB"/>
    <w:rsid w:val="00195148"/>
    <w:rsid w:val="00195A43"/>
    <w:rsid w:val="00196398"/>
    <w:rsid w:val="00196B9A"/>
    <w:rsid w:val="001974E0"/>
    <w:rsid w:val="00197F19"/>
    <w:rsid w:val="001A0102"/>
    <w:rsid w:val="001A0682"/>
    <w:rsid w:val="001A0EC8"/>
    <w:rsid w:val="001A0EDF"/>
    <w:rsid w:val="001A1405"/>
    <w:rsid w:val="001A1AD5"/>
    <w:rsid w:val="001A249B"/>
    <w:rsid w:val="001A24EF"/>
    <w:rsid w:val="001A290A"/>
    <w:rsid w:val="001A463F"/>
    <w:rsid w:val="001A46F6"/>
    <w:rsid w:val="001A47F8"/>
    <w:rsid w:val="001A52DC"/>
    <w:rsid w:val="001A5CD1"/>
    <w:rsid w:val="001A7C7B"/>
    <w:rsid w:val="001B0352"/>
    <w:rsid w:val="001B055C"/>
    <w:rsid w:val="001B084F"/>
    <w:rsid w:val="001B207C"/>
    <w:rsid w:val="001B2E96"/>
    <w:rsid w:val="001B315F"/>
    <w:rsid w:val="001B6139"/>
    <w:rsid w:val="001B7E3D"/>
    <w:rsid w:val="001C04D8"/>
    <w:rsid w:val="001C1B29"/>
    <w:rsid w:val="001C277B"/>
    <w:rsid w:val="001C2BF8"/>
    <w:rsid w:val="001C3318"/>
    <w:rsid w:val="001C34E5"/>
    <w:rsid w:val="001C3668"/>
    <w:rsid w:val="001C3F26"/>
    <w:rsid w:val="001C5311"/>
    <w:rsid w:val="001C7A5E"/>
    <w:rsid w:val="001D027E"/>
    <w:rsid w:val="001D0F01"/>
    <w:rsid w:val="001D16B2"/>
    <w:rsid w:val="001D208A"/>
    <w:rsid w:val="001D3D90"/>
    <w:rsid w:val="001D4F2D"/>
    <w:rsid w:val="001D56A9"/>
    <w:rsid w:val="001D5EC9"/>
    <w:rsid w:val="001D6459"/>
    <w:rsid w:val="001D6933"/>
    <w:rsid w:val="001D6C95"/>
    <w:rsid w:val="001D6D53"/>
    <w:rsid w:val="001D755D"/>
    <w:rsid w:val="001D765B"/>
    <w:rsid w:val="001E00C6"/>
    <w:rsid w:val="001E047B"/>
    <w:rsid w:val="001E0FB7"/>
    <w:rsid w:val="001E128F"/>
    <w:rsid w:val="001E1E5B"/>
    <w:rsid w:val="001E232D"/>
    <w:rsid w:val="001E28B4"/>
    <w:rsid w:val="001E391C"/>
    <w:rsid w:val="001E434F"/>
    <w:rsid w:val="001E4726"/>
    <w:rsid w:val="001E53D6"/>
    <w:rsid w:val="001E5493"/>
    <w:rsid w:val="001E6EE8"/>
    <w:rsid w:val="001E73A0"/>
    <w:rsid w:val="001E7AF0"/>
    <w:rsid w:val="001F0F08"/>
    <w:rsid w:val="001F293D"/>
    <w:rsid w:val="001F424E"/>
    <w:rsid w:val="001F43B5"/>
    <w:rsid w:val="001F4B72"/>
    <w:rsid w:val="001F5E78"/>
    <w:rsid w:val="001F699C"/>
    <w:rsid w:val="001F7EEF"/>
    <w:rsid w:val="0020163D"/>
    <w:rsid w:val="00202B64"/>
    <w:rsid w:val="00203916"/>
    <w:rsid w:val="00204413"/>
    <w:rsid w:val="002045E5"/>
    <w:rsid w:val="00206987"/>
    <w:rsid w:val="002078A2"/>
    <w:rsid w:val="00207AE5"/>
    <w:rsid w:val="002103F8"/>
    <w:rsid w:val="00210E41"/>
    <w:rsid w:val="00211382"/>
    <w:rsid w:val="0021291F"/>
    <w:rsid w:val="00212B4E"/>
    <w:rsid w:val="00212C49"/>
    <w:rsid w:val="00212D0B"/>
    <w:rsid w:val="00212F32"/>
    <w:rsid w:val="002137E6"/>
    <w:rsid w:val="00216284"/>
    <w:rsid w:val="0021703A"/>
    <w:rsid w:val="0021722A"/>
    <w:rsid w:val="00217883"/>
    <w:rsid w:val="00217BA7"/>
    <w:rsid w:val="002215EA"/>
    <w:rsid w:val="0022164D"/>
    <w:rsid w:val="00221A25"/>
    <w:rsid w:val="002230D7"/>
    <w:rsid w:val="0022372A"/>
    <w:rsid w:val="00223752"/>
    <w:rsid w:val="00223890"/>
    <w:rsid w:val="00224163"/>
    <w:rsid w:val="00224B9C"/>
    <w:rsid w:val="002262FE"/>
    <w:rsid w:val="002308B6"/>
    <w:rsid w:val="00230E4E"/>
    <w:rsid w:val="002327ED"/>
    <w:rsid w:val="00232E2D"/>
    <w:rsid w:val="00233872"/>
    <w:rsid w:val="00233DF9"/>
    <w:rsid w:val="00233F0E"/>
    <w:rsid w:val="0023467C"/>
    <w:rsid w:val="00234F6E"/>
    <w:rsid w:val="00236196"/>
    <w:rsid w:val="00241149"/>
    <w:rsid w:val="002412EE"/>
    <w:rsid w:val="00241FCB"/>
    <w:rsid w:val="00242046"/>
    <w:rsid w:val="00242B91"/>
    <w:rsid w:val="00245389"/>
    <w:rsid w:val="00245F85"/>
    <w:rsid w:val="0024657D"/>
    <w:rsid w:val="00247589"/>
    <w:rsid w:val="00247D2A"/>
    <w:rsid w:val="00247E70"/>
    <w:rsid w:val="002502A8"/>
    <w:rsid w:val="00251586"/>
    <w:rsid w:val="00252024"/>
    <w:rsid w:val="00252520"/>
    <w:rsid w:val="002537F1"/>
    <w:rsid w:val="00254765"/>
    <w:rsid w:val="00255B3A"/>
    <w:rsid w:val="00257C3B"/>
    <w:rsid w:val="00260CC1"/>
    <w:rsid w:val="00261F34"/>
    <w:rsid w:val="0026410E"/>
    <w:rsid w:val="002649FC"/>
    <w:rsid w:val="00264ADB"/>
    <w:rsid w:val="002654D9"/>
    <w:rsid w:val="0026628B"/>
    <w:rsid w:val="00266528"/>
    <w:rsid w:val="00266EDA"/>
    <w:rsid w:val="002678AD"/>
    <w:rsid w:val="00267BA1"/>
    <w:rsid w:val="0027362F"/>
    <w:rsid w:val="00274910"/>
    <w:rsid w:val="00276981"/>
    <w:rsid w:val="0028098F"/>
    <w:rsid w:val="0028133E"/>
    <w:rsid w:val="00282EE0"/>
    <w:rsid w:val="002840F0"/>
    <w:rsid w:val="0028410F"/>
    <w:rsid w:val="0028462D"/>
    <w:rsid w:val="002856CA"/>
    <w:rsid w:val="00287CCE"/>
    <w:rsid w:val="00290931"/>
    <w:rsid w:val="00291DC4"/>
    <w:rsid w:val="0029367D"/>
    <w:rsid w:val="00293B6B"/>
    <w:rsid w:val="002945FD"/>
    <w:rsid w:val="00294BC6"/>
    <w:rsid w:val="0029591E"/>
    <w:rsid w:val="002966DC"/>
    <w:rsid w:val="00296CB3"/>
    <w:rsid w:val="0029760D"/>
    <w:rsid w:val="00297B60"/>
    <w:rsid w:val="002A08C8"/>
    <w:rsid w:val="002A147C"/>
    <w:rsid w:val="002A1F26"/>
    <w:rsid w:val="002A23EF"/>
    <w:rsid w:val="002A4C93"/>
    <w:rsid w:val="002A4E7C"/>
    <w:rsid w:val="002A60A8"/>
    <w:rsid w:val="002A6BC0"/>
    <w:rsid w:val="002B100B"/>
    <w:rsid w:val="002B1B96"/>
    <w:rsid w:val="002B1C79"/>
    <w:rsid w:val="002B2034"/>
    <w:rsid w:val="002B27C3"/>
    <w:rsid w:val="002B2A25"/>
    <w:rsid w:val="002B2DA9"/>
    <w:rsid w:val="002B3258"/>
    <w:rsid w:val="002B3ADC"/>
    <w:rsid w:val="002B4194"/>
    <w:rsid w:val="002B45EF"/>
    <w:rsid w:val="002B47EB"/>
    <w:rsid w:val="002B67D3"/>
    <w:rsid w:val="002B6E2B"/>
    <w:rsid w:val="002B7BD8"/>
    <w:rsid w:val="002B7CDB"/>
    <w:rsid w:val="002C034B"/>
    <w:rsid w:val="002C0E9C"/>
    <w:rsid w:val="002C3EEB"/>
    <w:rsid w:val="002C4137"/>
    <w:rsid w:val="002C5ECF"/>
    <w:rsid w:val="002C706A"/>
    <w:rsid w:val="002C7D62"/>
    <w:rsid w:val="002C7F36"/>
    <w:rsid w:val="002D08C5"/>
    <w:rsid w:val="002D1EC8"/>
    <w:rsid w:val="002D3D0D"/>
    <w:rsid w:val="002D6E1F"/>
    <w:rsid w:val="002D722A"/>
    <w:rsid w:val="002D7647"/>
    <w:rsid w:val="002D7933"/>
    <w:rsid w:val="002D7F38"/>
    <w:rsid w:val="002E1925"/>
    <w:rsid w:val="002E2EC7"/>
    <w:rsid w:val="002E3460"/>
    <w:rsid w:val="002E47B7"/>
    <w:rsid w:val="002E55F4"/>
    <w:rsid w:val="002E5799"/>
    <w:rsid w:val="002E5930"/>
    <w:rsid w:val="002E5A54"/>
    <w:rsid w:val="002E6205"/>
    <w:rsid w:val="002E695C"/>
    <w:rsid w:val="002E6A16"/>
    <w:rsid w:val="002E6E55"/>
    <w:rsid w:val="002E7B45"/>
    <w:rsid w:val="002F03CB"/>
    <w:rsid w:val="002F0A0E"/>
    <w:rsid w:val="002F1850"/>
    <w:rsid w:val="002F2344"/>
    <w:rsid w:val="002F3151"/>
    <w:rsid w:val="002F38E8"/>
    <w:rsid w:val="002F442B"/>
    <w:rsid w:val="002F45BC"/>
    <w:rsid w:val="002F46D8"/>
    <w:rsid w:val="002F5093"/>
    <w:rsid w:val="002F593F"/>
    <w:rsid w:val="002F5D67"/>
    <w:rsid w:val="002F6664"/>
    <w:rsid w:val="002F78B1"/>
    <w:rsid w:val="003005AC"/>
    <w:rsid w:val="0030095B"/>
    <w:rsid w:val="00301506"/>
    <w:rsid w:val="003022B8"/>
    <w:rsid w:val="00302547"/>
    <w:rsid w:val="0030296E"/>
    <w:rsid w:val="00302EBF"/>
    <w:rsid w:val="003033D2"/>
    <w:rsid w:val="00304CE9"/>
    <w:rsid w:val="00307122"/>
    <w:rsid w:val="00307E4D"/>
    <w:rsid w:val="00310CFC"/>
    <w:rsid w:val="003115DC"/>
    <w:rsid w:val="003117A6"/>
    <w:rsid w:val="00312395"/>
    <w:rsid w:val="003124E7"/>
    <w:rsid w:val="003126C4"/>
    <w:rsid w:val="003143E7"/>
    <w:rsid w:val="0031466E"/>
    <w:rsid w:val="0031666D"/>
    <w:rsid w:val="003168F0"/>
    <w:rsid w:val="0031795F"/>
    <w:rsid w:val="003211C4"/>
    <w:rsid w:val="0032129C"/>
    <w:rsid w:val="00321476"/>
    <w:rsid w:val="00321C9C"/>
    <w:rsid w:val="00323831"/>
    <w:rsid w:val="00324934"/>
    <w:rsid w:val="00325E06"/>
    <w:rsid w:val="00326461"/>
    <w:rsid w:val="0032719F"/>
    <w:rsid w:val="003276A9"/>
    <w:rsid w:val="00327F68"/>
    <w:rsid w:val="0033121E"/>
    <w:rsid w:val="003325AE"/>
    <w:rsid w:val="003326B6"/>
    <w:rsid w:val="0033313C"/>
    <w:rsid w:val="00333744"/>
    <w:rsid w:val="003337F7"/>
    <w:rsid w:val="00333836"/>
    <w:rsid w:val="00333D97"/>
    <w:rsid w:val="003361F3"/>
    <w:rsid w:val="0033634C"/>
    <w:rsid w:val="00336971"/>
    <w:rsid w:val="00337AE0"/>
    <w:rsid w:val="00337C9A"/>
    <w:rsid w:val="00340219"/>
    <w:rsid w:val="00340493"/>
    <w:rsid w:val="00340B7A"/>
    <w:rsid w:val="003416CC"/>
    <w:rsid w:val="003421CB"/>
    <w:rsid w:val="00343422"/>
    <w:rsid w:val="00343C09"/>
    <w:rsid w:val="00343DF9"/>
    <w:rsid w:val="003448B5"/>
    <w:rsid w:val="0034641F"/>
    <w:rsid w:val="00346A44"/>
    <w:rsid w:val="00346B8A"/>
    <w:rsid w:val="003477D8"/>
    <w:rsid w:val="0035091A"/>
    <w:rsid w:val="003518E4"/>
    <w:rsid w:val="00351C67"/>
    <w:rsid w:val="0035217D"/>
    <w:rsid w:val="00353236"/>
    <w:rsid w:val="003534FB"/>
    <w:rsid w:val="003545B4"/>
    <w:rsid w:val="00354B6D"/>
    <w:rsid w:val="003561EB"/>
    <w:rsid w:val="00356204"/>
    <w:rsid w:val="00356525"/>
    <w:rsid w:val="003568C0"/>
    <w:rsid w:val="00356C70"/>
    <w:rsid w:val="0035758A"/>
    <w:rsid w:val="003615D8"/>
    <w:rsid w:val="00362868"/>
    <w:rsid w:val="00363321"/>
    <w:rsid w:val="00363FE0"/>
    <w:rsid w:val="003647D9"/>
    <w:rsid w:val="00364813"/>
    <w:rsid w:val="00364EA6"/>
    <w:rsid w:val="00366215"/>
    <w:rsid w:val="00366895"/>
    <w:rsid w:val="003670DC"/>
    <w:rsid w:val="0037008E"/>
    <w:rsid w:val="00370E71"/>
    <w:rsid w:val="00371C30"/>
    <w:rsid w:val="00372144"/>
    <w:rsid w:val="003734E8"/>
    <w:rsid w:val="0037421C"/>
    <w:rsid w:val="003746CF"/>
    <w:rsid w:val="00375896"/>
    <w:rsid w:val="00376B97"/>
    <w:rsid w:val="00376D85"/>
    <w:rsid w:val="00377853"/>
    <w:rsid w:val="00377B5C"/>
    <w:rsid w:val="00377F8B"/>
    <w:rsid w:val="00380948"/>
    <w:rsid w:val="00380B47"/>
    <w:rsid w:val="0038184E"/>
    <w:rsid w:val="00382526"/>
    <w:rsid w:val="00383277"/>
    <w:rsid w:val="003844D8"/>
    <w:rsid w:val="00386176"/>
    <w:rsid w:val="00386298"/>
    <w:rsid w:val="003872D0"/>
    <w:rsid w:val="003872EB"/>
    <w:rsid w:val="00387D9D"/>
    <w:rsid w:val="00387EBB"/>
    <w:rsid w:val="00390801"/>
    <w:rsid w:val="00390CF6"/>
    <w:rsid w:val="00394E70"/>
    <w:rsid w:val="00396229"/>
    <w:rsid w:val="0039681A"/>
    <w:rsid w:val="00396EFF"/>
    <w:rsid w:val="003A1C06"/>
    <w:rsid w:val="003A2D0F"/>
    <w:rsid w:val="003A3DCB"/>
    <w:rsid w:val="003A42F7"/>
    <w:rsid w:val="003A696A"/>
    <w:rsid w:val="003A774A"/>
    <w:rsid w:val="003B276B"/>
    <w:rsid w:val="003B2E2F"/>
    <w:rsid w:val="003B3270"/>
    <w:rsid w:val="003B402E"/>
    <w:rsid w:val="003B43CA"/>
    <w:rsid w:val="003B4973"/>
    <w:rsid w:val="003B53E0"/>
    <w:rsid w:val="003B56A5"/>
    <w:rsid w:val="003B5C96"/>
    <w:rsid w:val="003B6F47"/>
    <w:rsid w:val="003C05ED"/>
    <w:rsid w:val="003C15DE"/>
    <w:rsid w:val="003C18B6"/>
    <w:rsid w:val="003C1A75"/>
    <w:rsid w:val="003C2A69"/>
    <w:rsid w:val="003C3ED1"/>
    <w:rsid w:val="003C4EA1"/>
    <w:rsid w:val="003C542A"/>
    <w:rsid w:val="003C6007"/>
    <w:rsid w:val="003D00B6"/>
    <w:rsid w:val="003D0DC6"/>
    <w:rsid w:val="003D1823"/>
    <w:rsid w:val="003D1FA6"/>
    <w:rsid w:val="003D2A19"/>
    <w:rsid w:val="003D33A4"/>
    <w:rsid w:val="003D4F04"/>
    <w:rsid w:val="003D5AD5"/>
    <w:rsid w:val="003D5DB8"/>
    <w:rsid w:val="003D6081"/>
    <w:rsid w:val="003E1A80"/>
    <w:rsid w:val="003E4BF9"/>
    <w:rsid w:val="003E4DED"/>
    <w:rsid w:val="003E5FA0"/>
    <w:rsid w:val="003E6173"/>
    <w:rsid w:val="003E6294"/>
    <w:rsid w:val="003E64E1"/>
    <w:rsid w:val="003E72BB"/>
    <w:rsid w:val="003F0BE3"/>
    <w:rsid w:val="003F180B"/>
    <w:rsid w:val="003F1994"/>
    <w:rsid w:val="003F1F10"/>
    <w:rsid w:val="003F2512"/>
    <w:rsid w:val="003F35A6"/>
    <w:rsid w:val="003F4787"/>
    <w:rsid w:val="003F481E"/>
    <w:rsid w:val="003F5993"/>
    <w:rsid w:val="003F5C7E"/>
    <w:rsid w:val="003F7406"/>
    <w:rsid w:val="00400F4A"/>
    <w:rsid w:val="00402065"/>
    <w:rsid w:val="00402BCE"/>
    <w:rsid w:val="00402C02"/>
    <w:rsid w:val="00403494"/>
    <w:rsid w:val="00403BEE"/>
    <w:rsid w:val="004049B3"/>
    <w:rsid w:val="0040540F"/>
    <w:rsid w:val="00405739"/>
    <w:rsid w:val="00406F79"/>
    <w:rsid w:val="0040727A"/>
    <w:rsid w:val="00410338"/>
    <w:rsid w:val="004106E6"/>
    <w:rsid w:val="00411306"/>
    <w:rsid w:val="004119BB"/>
    <w:rsid w:val="00411BFA"/>
    <w:rsid w:val="00411D1F"/>
    <w:rsid w:val="0041236F"/>
    <w:rsid w:val="00412DCC"/>
    <w:rsid w:val="00412E0A"/>
    <w:rsid w:val="00413EE5"/>
    <w:rsid w:val="00414089"/>
    <w:rsid w:val="004157B9"/>
    <w:rsid w:val="00415A89"/>
    <w:rsid w:val="00415C7D"/>
    <w:rsid w:val="00417348"/>
    <w:rsid w:val="004174C4"/>
    <w:rsid w:val="004177B7"/>
    <w:rsid w:val="00421D3C"/>
    <w:rsid w:val="004239AB"/>
    <w:rsid w:val="004252D1"/>
    <w:rsid w:val="0042581D"/>
    <w:rsid w:val="00433813"/>
    <w:rsid w:val="0043394C"/>
    <w:rsid w:val="004346AB"/>
    <w:rsid w:val="004347F4"/>
    <w:rsid w:val="004356A9"/>
    <w:rsid w:val="00436F8C"/>
    <w:rsid w:val="00437AD8"/>
    <w:rsid w:val="00440566"/>
    <w:rsid w:val="00440D4D"/>
    <w:rsid w:val="00441BE0"/>
    <w:rsid w:val="00442876"/>
    <w:rsid w:val="00445567"/>
    <w:rsid w:val="0044666E"/>
    <w:rsid w:val="00446DB5"/>
    <w:rsid w:val="0044712D"/>
    <w:rsid w:val="004474F2"/>
    <w:rsid w:val="00447A40"/>
    <w:rsid w:val="00447F18"/>
    <w:rsid w:val="00450498"/>
    <w:rsid w:val="00451697"/>
    <w:rsid w:val="00451BBB"/>
    <w:rsid w:val="0045273D"/>
    <w:rsid w:val="00452BF0"/>
    <w:rsid w:val="00454FB4"/>
    <w:rsid w:val="00455652"/>
    <w:rsid w:val="00455C5B"/>
    <w:rsid w:val="004566B7"/>
    <w:rsid w:val="00461F4D"/>
    <w:rsid w:val="004621CF"/>
    <w:rsid w:val="004652D9"/>
    <w:rsid w:val="00465E37"/>
    <w:rsid w:val="00466923"/>
    <w:rsid w:val="004669E9"/>
    <w:rsid w:val="00466A60"/>
    <w:rsid w:val="00467579"/>
    <w:rsid w:val="0046767F"/>
    <w:rsid w:val="00470735"/>
    <w:rsid w:val="00472742"/>
    <w:rsid w:val="00473522"/>
    <w:rsid w:val="0047421E"/>
    <w:rsid w:val="004743C2"/>
    <w:rsid w:val="00474FF6"/>
    <w:rsid w:val="00476CF5"/>
    <w:rsid w:val="00477162"/>
    <w:rsid w:val="004774F6"/>
    <w:rsid w:val="00480933"/>
    <w:rsid w:val="00481BBE"/>
    <w:rsid w:val="004823A6"/>
    <w:rsid w:val="00482554"/>
    <w:rsid w:val="00483177"/>
    <w:rsid w:val="004838AA"/>
    <w:rsid w:val="00485ACB"/>
    <w:rsid w:val="00486369"/>
    <w:rsid w:val="00486D3E"/>
    <w:rsid w:val="00490E5D"/>
    <w:rsid w:val="0049142F"/>
    <w:rsid w:val="00491ACE"/>
    <w:rsid w:val="00491B06"/>
    <w:rsid w:val="00491BB6"/>
    <w:rsid w:val="00491E83"/>
    <w:rsid w:val="00491EC1"/>
    <w:rsid w:val="00492854"/>
    <w:rsid w:val="00493B05"/>
    <w:rsid w:val="004951DC"/>
    <w:rsid w:val="00496141"/>
    <w:rsid w:val="00496C0A"/>
    <w:rsid w:val="00496E12"/>
    <w:rsid w:val="00496E71"/>
    <w:rsid w:val="0049773A"/>
    <w:rsid w:val="004A0E08"/>
    <w:rsid w:val="004A340F"/>
    <w:rsid w:val="004A361E"/>
    <w:rsid w:val="004A3D95"/>
    <w:rsid w:val="004A7008"/>
    <w:rsid w:val="004A73D4"/>
    <w:rsid w:val="004A749C"/>
    <w:rsid w:val="004B0398"/>
    <w:rsid w:val="004B0725"/>
    <w:rsid w:val="004B28CE"/>
    <w:rsid w:val="004B3600"/>
    <w:rsid w:val="004B45EC"/>
    <w:rsid w:val="004B5E22"/>
    <w:rsid w:val="004B7158"/>
    <w:rsid w:val="004B7414"/>
    <w:rsid w:val="004C381F"/>
    <w:rsid w:val="004C3D32"/>
    <w:rsid w:val="004C4994"/>
    <w:rsid w:val="004C4D68"/>
    <w:rsid w:val="004C539A"/>
    <w:rsid w:val="004C5E1F"/>
    <w:rsid w:val="004C5F84"/>
    <w:rsid w:val="004C7284"/>
    <w:rsid w:val="004D05A5"/>
    <w:rsid w:val="004D0A88"/>
    <w:rsid w:val="004D0D6B"/>
    <w:rsid w:val="004D218D"/>
    <w:rsid w:val="004D2D30"/>
    <w:rsid w:val="004D3DE2"/>
    <w:rsid w:val="004D41E3"/>
    <w:rsid w:val="004D5E46"/>
    <w:rsid w:val="004D71C5"/>
    <w:rsid w:val="004E1C1C"/>
    <w:rsid w:val="004E29FA"/>
    <w:rsid w:val="004E3057"/>
    <w:rsid w:val="004E41C6"/>
    <w:rsid w:val="004E484A"/>
    <w:rsid w:val="004E5704"/>
    <w:rsid w:val="004E67C0"/>
    <w:rsid w:val="004F0691"/>
    <w:rsid w:val="004F1F49"/>
    <w:rsid w:val="004F2A5A"/>
    <w:rsid w:val="004F2F9C"/>
    <w:rsid w:val="004F36DF"/>
    <w:rsid w:val="004F47BD"/>
    <w:rsid w:val="004F5E50"/>
    <w:rsid w:val="004F6F94"/>
    <w:rsid w:val="004F7312"/>
    <w:rsid w:val="004F7672"/>
    <w:rsid w:val="005004A6"/>
    <w:rsid w:val="00500552"/>
    <w:rsid w:val="0050093A"/>
    <w:rsid w:val="00500ADD"/>
    <w:rsid w:val="005017DB"/>
    <w:rsid w:val="00501EED"/>
    <w:rsid w:val="00504131"/>
    <w:rsid w:val="00504AEB"/>
    <w:rsid w:val="00505481"/>
    <w:rsid w:val="0050554D"/>
    <w:rsid w:val="00505EE6"/>
    <w:rsid w:val="0050643E"/>
    <w:rsid w:val="00507721"/>
    <w:rsid w:val="00510612"/>
    <w:rsid w:val="00511CE4"/>
    <w:rsid w:val="00513AC9"/>
    <w:rsid w:val="0051431B"/>
    <w:rsid w:val="0051477F"/>
    <w:rsid w:val="0051550C"/>
    <w:rsid w:val="00515947"/>
    <w:rsid w:val="00515A89"/>
    <w:rsid w:val="00516411"/>
    <w:rsid w:val="00522469"/>
    <w:rsid w:val="00523DE0"/>
    <w:rsid w:val="00523E9F"/>
    <w:rsid w:val="00525632"/>
    <w:rsid w:val="00526ABA"/>
    <w:rsid w:val="00527941"/>
    <w:rsid w:val="00530718"/>
    <w:rsid w:val="005311E5"/>
    <w:rsid w:val="00531AB0"/>
    <w:rsid w:val="005320A7"/>
    <w:rsid w:val="005323D4"/>
    <w:rsid w:val="005329EA"/>
    <w:rsid w:val="0053433B"/>
    <w:rsid w:val="00534495"/>
    <w:rsid w:val="00534643"/>
    <w:rsid w:val="00535542"/>
    <w:rsid w:val="0053707C"/>
    <w:rsid w:val="00537A93"/>
    <w:rsid w:val="00540CA8"/>
    <w:rsid w:val="00540CB5"/>
    <w:rsid w:val="00541BB2"/>
    <w:rsid w:val="005425D2"/>
    <w:rsid w:val="00542A78"/>
    <w:rsid w:val="0054303F"/>
    <w:rsid w:val="005433A5"/>
    <w:rsid w:val="00543512"/>
    <w:rsid w:val="0054557C"/>
    <w:rsid w:val="00545765"/>
    <w:rsid w:val="00546946"/>
    <w:rsid w:val="005511EC"/>
    <w:rsid w:val="005514E9"/>
    <w:rsid w:val="0055199B"/>
    <w:rsid w:val="00552119"/>
    <w:rsid w:val="00554C37"/>
    <w:rsid w:val="00554E78"/>
    <w:rsid w:val="00555914"/>
    <w:rsid w:val="00555F11"/>
    <w:rsid w:val="00556648"/>
    <w:rsid w:val="00560C57"/>
    <w:rsid w:val="00561369"/>
    <w:rsid w:val="00561DD2"/>
    <w:rsid w:val="0056293C"/>
    <w:rsid w:val="00563387"/>
    <w:rsid w:val="005635FF"/>
    <w:rsid w:val="005654D2"/>
    <w:rsid w:val="00565C5B"/>
    <w:rsid w:val="005671DE"/>
    <w:rsid w:val="005672E3"/>
    <w:rsid w:val="00567FDD"/>
    <w:rsid w:val="005705FB"/>
    <w:rsid w:val="00571340"/>
    <w:rsid w:val="0057148D"/>
    <w:rsid w:val="00571742"/>
    <w:rsid w:val="00572B03"/>
    <w:rsid w:val="00574310"/>
    <w:rsid w:val="00576DA9"/>
    <w:rsid w:val="00576E9D"/>
    <w:rsid w:val="005773F2"/>
    <w:rsid w:val="005806B4"/>
    <w:rsid w:val="0058091F"/>
    <w:rsid w:val="00581279"/>
    <w:rsid w:val="00581344"/>
    <w:rsid w:val="005816BE"/>
    <w:rsid w:val="00582B95"/>
    <w:rsid w:val="0058341D"/>
    <w:rsid w:val="0058354B"/>
    <w:rsid w:val="00583930"/>
    <w:rsid w:val="00583B0D"/>
    <w:rsid w:val="00583C24"/>
    <w:rsid w:val="00584103"/>
    <w:rsid w:val="0058416F"/>
    <w:rsid w:val="00584734"/>
    <w:rsid w:val="00584775"/>
    <w:rsid w:val="0058654D"/>
    <w:rsid w:val="00587783"/>
    <w:rsid w:val="0059200F"/>
    <w:rsid w:val="005926BB"/>
    <w:rsid w:val="005930AC"/>
    <w:rsid w:val="00593855"/>
    <w:rsid w:val="00593D71"/>
    <w:rsid w:val="00593F43"/>
    <w:rsid w:val="00594260"/>
    <w:rsid w:val="00594644"/>
    <w:rsid w:val="0059474E"/>
    <w:rsid w:val="005951A1"/>
    <w:rsid w:val="00596081"/>
    <w:rsid w:val="005979FA"/>
    <w:rsid w:val="005A0B39"/>
    <w:rsid w:val="005A1351"/>
    <w:rsid w:val="005A13CF"/>
    <w:rsid w:val="005A4E73"/>
    <w:rsid w:val="005A4F0C"/>
    <w:rsid w:val="005A56CD"/>
    <w:rsid w:val="005A5914"/>
    <w:rsid w:val="005A67E5"/>
    <w:rsid w:val="005A6CB2"/>
    <w:rsid w:val="005A6F91"/>
    <w:rsid w:val="005A769C"/>
    <w:rsid w:val="005A7AB3"/>
    <w:rsid w:val="005B0134"/>
    <w:rsid w:val="005B0387"/>
    <w:rsid w:val="005B0597"/>
    <w:rsid w:val="005B1568"/>
    <w:rsid w:val="005B2603"/>
    <w:rsid w:val="005B2DFC"/>
    <w:rsid w:val="005B3F64"/>
    <w:rsid w:val="005B40E0"/>
    <w:rsid w:val="005B52EF"/>
    <w:rsid w:val="005B53C5"/>
    <w:rsid w:val="005C0951"/>
    <w:rsid w:val="005C1635"/>
    <w:rsid w:val="005C16CF"/>
    <w:rsid w:val="005C2242"/>
    <w:rsid w:val="005C65FC"/>
    <w:rsid w:val="005C7970"/>
    <w:rsid w:val="005D01EC"/>
    <w:rsid w:val="005D13E9"/>
    <w:rsid w:val="005D13F7"/>
    <w:rsid w:val="005D1A08"/>
    <w:rsid w:val="005D1EAD"/>
    <w:rsid w:val="005D20B9"/>
    <w:rsid w:val="005D23FF"/>
    <w:rsid w:val="005D24B8"/>
    <w:rsid w:val="005D28FD"/>
    <w:rsid w:val="005D2FBB"/>
    <w:rsid w:val="005D35CE"/>
    <w:rsid w:val="005D500B"/>
    <w:rsid w:val="005D515C"/>
    <w:rsid w:val="005D61C7"/>
    <w:rsid w:val="005D72AB"/>
    <w:rsid w:val="005D7416"/>
    <w:rsid w:val="005D7577"/>
    <w:rsid w:val="005E1FE9"/>
    <w:rsid w:val="005E21E0"/>
    <w:rsid w:val="005E24F6"/>
    <w:rsid w:val="005E39BB"/>
    <w:rsid w:val="005E4C69"/>
    <w:rsid w:val="005E55C0"/>
    <w:rsid w:val="005E643F"/>
    <w:rsid w:val="005E67FF"/>
    <w:rsid w:val="005E6A32"/>
    <w:rsid w:val="005F20F3"/>
    <w:rsid w:val="005F2539"/>
    <w:rsid w:val="005F2749"/>
    <w:rsid w:val="005F327A"/>
    <w:rsid w:val="005F443C"/>
    <w:rsid w:val="005F4840"/>
    <w:rsid w:val="005F5091"/>
    <w:rsid w:val="005F60B7"/>
    <w:rsid w:val="005F6E7F"/>
    <w:rsid w:val="005F7205"/>
    <w:rsid w:val="005F74CC"/>
    <w:rsid w:val="005F779E"/>
    <w:rsid w:val="00600044"/>
    <w:rsid w:val="0060024C"/>
    <w:rsid w:val="006002D6"/>
    <w:rsid w:val="006031D6"/>
    <w:rsid w:val="006039DD"/>
    <w:rsid w:val="006041E2"/>
    <w:rsid w:val="00607C5E"/>
    <w:rsid w:val="0061160E"/>
    <w:rsid w:val="006119C1"/>
    <w:rsid w:val="00611F89"/>
    <w:rsid w:val="00613E46"/>
    <w:rsid w:val="00613FB3"/>
    <w:rsid w:val="0061533C"/>
    <w:rsid w:val="0061556E"/>
    <w:rsid w:val="00615E43"/>
    <w:rsid w:val="00616B2D"/>
    <w:rsid w:val="0061715B"/>
    <w:rsid w:val="0061772C"/>
    <w:rsid w:val="006178E2"/>
    <w:rsid w:val="0062047D"/>
    <w:rsid w:val="00621149"/>
    <w:rsid w:val="00621192"/>
    <w:rsid w:val="006226C3"/>
    <w:rsid w:val="00622DC2"/>
    <w:rsid w:val="00623348"/>
    <w:rsid w:val="00623DE1"/>
    <w:rsid w:val="00623F48"/>
    <w:rsid w:val="00624925"/>
    <w:rsid w:val="00626195"/>
    <w:rsid w:val="006265D0"/>
    <w:rsid w:val="00626A7E"/>
    <w:rsid w:val="00626A99"/>
    <w:rsid w:val="00626AD0"/>
    <w:rsid w:val="00627F66"/>
    <w:rsid w:val="00631097"/>
    <w:rsid w:val="006311C4"/>
    <w:rsid w:val="00631C1C"/>
    <w:rsid w:val="00633C54"/>
    <w:rsid w:val="00634AB4"/>
    <w:rsid w:val="0063552D"/>
    <w:rsid w:val="006371DA"/>
    <w:rsid w:val="00640F1C"/>
    <w:rsid w:val="0064132A"/>
    <w:rsid w:val="0064183E"/>
    <w:rsid w:val="006454C2"/>
    <w:rsid w:val="006454C7"/>
    <w:rsid w:val="00645D71"/>
    <w:rsid w:val="006462D3"/>
    <w:rsid w:val="00646C02"/>
    <w:rsid w:val="00651B31"/>
    <w:rsid w:val="00652756"/>
    <w:rsid w:val="00653BBF"/>
    <w:rsid w:val="00654919"/>
    <w:rsid w:val="00655021"/>
    <w:rsid w:val="006551AB"/>
    <w:rsid w:val="0065535C"/>
    <w:rsid w:val="00656FAD"/>
    <w:rsid w:val="0065720C"/>
    <w:rsid w:val="006578E9"/>
    <w:rsid w:val="00660231"/>
    <w:rsid w:val="00662021"/>
    <w:rsid w:val="00662FC1"/>
    <w:rsid w:val="0066336F"/>
    <w:rsid w:val="006645CF"/>
    <w:rsid w:val="00664A9E"/>
    <w:rsid w:val="00664E87"/>
    <w:rsid w:val="00665578"/>
    <w:rsid w:val="00665628"/>
    <w:rsid w:val="00665D3B"/>
    <w:rsid w:val="00666AEF"/>
    <w:rsid w:val="006674BB"/>
    <w:rsid w:val="00667B6A"/>
    <w:rsid w:val="00671925"/>
    <w:rsid w:val="00672044"/>
    <w:rsid w:val="006724C9"/>
    <w:rsid w:val="0067265B"/>
    <w:rsid w:val="0067312B"/>
    <w:rsid w:val="00673A8A"/>
    <w:rsid w:val="00675173"/>
    <w:rsid w:val="00675B4C"/>
    <w:rsid w:val="00677725"/>
    <w:rsid w:val="00680A63"/>
    <w:rsid w:val="00683CD7"/>
    <w:rsid w:val="00683DB5"/>
    <w:rsid w:val="006849FF"/>
    <w:rsid w:val="00687157"/>
    <w:rsid w:val="00690352"/>
    <w:rsid w:val="006913F2"/>
    <w:rsid w:val="00691741"/>
    <w:rsid w:val="006929A0"/>
    <w:rsid w:val="00693347"/>
    <w:rsid w:val="006935AF"/>
    <w:rsid w:val="006953A5"/>
    <w:rsid w:val="006957F2"/>
    <w:rsid w:val="006960CE"/>
    <w:rsid w:val="00696266"/>
    <w:rsid w:val="00696517"/>
    <w:rsid w:val="00696618"/>
    <w:rsid w:val="006A151D"/>
    <w:rsid w:val="006A20CB"/>
    <w:rsid w:val="006A273E"/>
    <w:rsid w:val="006A398A"/>
    <w:rsid w:val="006A3C7C"/>
    <w:rsid w:val="006A516F"/>
    <w:rsid w:val="006A7A06"/>
    <w:rsid w:val="006B1759"/>
    <w:rsid w:val="006B383A"/>
    <w:rsid w:val="006B396B"/>
    <w:rsid w:val="006B3E67"/>
    <w:rsid w:val="006B4BC5"/>
    <w:rsid w:val="006B4C77"/>
    <w:rsid w:val="006B5873"/>
    <w:rsid w:val="006B6E5A"/>
    <w:rsid w:val="006C0209"/>
    <w:rsid w:val="006C053E"/>
    <w:rsid w:val="006C15EC"/>
    <w:rsid w:val="006C16C1"/>
    <w:rsid w:val="006C3B9C"/>
    <w:rsid w:val="006C45DE"/>
    <w:rsid w:val="006C4981"/>
    <w:rsid w:val="006C5542"/>
    <w:rsid w:val="006C588B"/>
    <w:rsid w:val="006C654A"/>
    <w:rsid w:val="006C7873"/>
    <w:rsid w:val="006C7AAC"/>
    <w:rsid w:val="006C7C7C"/>
    <w:rsid w:val="006D0098"/>
    <w:rsid w:val="006D1636"/>
    <w:rsid w:val="006D1BC3"/>
    <w:rsid w:val="006D2C93"/>
    <w:rsid w:val="006D311B"/>
    <w:rsid w:val="006D3163"/>
    <w:rsid w:val="006D4DE3"/>
    <w:rsid w:val="006D69B9"/>
    <w:rsid w:val="006D6F11"/>
    <w:rsid w:val="006D6F4E"/>
    <w:rsid w:val="006D7A02"/>
    <w:rsid w:val="006D7F6F"/>
    <w:rsid w:val="006E1B86"/>
    <w:rsid w:val="006E3025"/>
    <w:rsid w:val="006E3C90"/>
    <w:rsid w:val="006E4641"/>
    <w:rsid w:val="006E65DF"/>
    <w:rsid w:val="006F1257"/>
    <w:rsid w:val="006F2508"/>
    <w:rsid w:val="006F2954"/>
    <w:rsid w:val="006F2FBE"/>
    <w:rsid w:val="006F3729"/>
    <w:rsid w:val="006F4476"/>
    <w:rsid w:val="006F4CF6"/>
    <w:rsid w:val="006F4E14"/>
    <w:rsid w:val="006F51B7"/>
    <w:rsid w:val="006F637D"/>
    <w:rsid w:val="006F7693"/>
    <w:rsid w:val="00701BB3"/>
    <w:rsid w:val="00703209"/>
    <w:rsid w:val="00703D72"/>
    <w:rsid w:val="007043F5"/>
    <w:rsid w:val="00704BB8"/>
    <w:rsid w:val="00704EF3"/>
    <w:rsid w:val="00705471"/>
    <w:rsid w:val="00705A33"/>
    <w:rsid w:val="007062E7"/>
    <w:rsid w:val="00706BF3"/>
    <w:rsid w:val="00707132"/>
    <w:rsid w:val="007103AB"/>
    <w:rsid w:val="00710C90"/>
    <w:rsid w:val="00711179"/>
    <w:rsid w:val="0071263C"/>
    <w:rsid w:val="00713B8F"/>
    <w:rsid w:val="00714B20"/>
    <w:rsid w:val="00716634"/>
    <w:rsid w:val="00717355"/>
    <w:rsid w:val="00720BC5"/>
    <w:rsid w:val="00720C82"/>
    <w:rsid w:val="0072118E"/>
    <w:rsid w:val="00721326"/>
    <w:rsid w:val="00721C95"/>
    <w:rsid w:val="00722FB3"/>
    <w:rsid w:val="00724557"/>
    <w:rsid w:val="00725B0C"/>
    <w:rsid w:val="0072617F"/>
    <w:rsid w:val="00726E47"/>
    <w:rsid w:val="00726EB3"/>
    <w:rsid w:val="007278BE"/>
    <w:rsid w:val="00727E53"/>
    <w:rsid w:val="007303A0"/>
    <w:rsid w:val="00730D55"/>
    <w:rsid w:val="00731184"/>
    <w:rsid w:val="0073160D"/>
    <w:rsid w:val="007321E3"/>
    <w:rsid w:val="007326BD"/>
    <w:rsid w:val="0073339A"/>
    <w:rsid w:val="00734010"/>
    <w:rsid w:val="00734598"/>
    <w:rsid w:val="0073654D"/>
    <w:rsid w:val="00736FF8"/>
    <w:rsid w:val="00737BF6"/>
    <w:rsid w:val="00737BFB"/>
    <w:rsid w:val="00737C41"/>
    <w:rsid w:val="00737CCC"/>
    <w:rsid w:val="007400EA"/>
    <w:rsid w:val="00743292"/>
    <w:rsid w:val="00743F85"/>
    <w:rsid w:val="00744C2C"/>
    <w:rsid w:val="0074588D"/>
    <w:rsid w:val="00746303"/>
    <w:rsid w:val="007477C7"/>
    <w:rsid w:val="0075208D"/>
    <w:rsid w:val="00752E27"/>
    <w:rsid w:val="00753924"/>
    <w:rsid w:val="00754A80"/>
    <w:rsid w:val="00754B92"/>
    <w:rsid w:val="0075552F"/>
    <w:rsid w:val="0075555B"/>
    <w:rsid w:val="00755F03"/>
    <w:rsid w:val="00755F3E"/>
    <w:rsid w:val="007608AE"/>
    <w:rsid w:val="00761D51"/>
    <w:rsid w:val="00761D95"/>
    <w:rsid w:val="007628C3"/>
    <w:rsid w:val="00763382"/>
    <w:rsid w:val="00763770"/>
    <w:rsid w:val="00763BA6"/>
    <w:rsid w:val="00763E54"/>
    <w:rsid w:val="00763F3F"/>
    <w:rsid w:val="00765772"/>
    <w:rsid w:val="00766566"/>
    <w:rsid w:val="00766A96"/>
    <w:rsid w:val="00766CA9"/>
    <w:rsid w:val="00771FEF"/>
    <w:rsid w:val="00772A8C"/>
    <w:rsid w:val="007731C3"/>
    <w:rsid w:val="007732AB"/>
    <w:rsid w:val="0077405D"/>
    <w:rsid w:val="007742AE"/>
    <w:rsid w:val="007764C0"/>
    <w:rsid w:val="007766CC"/>
    <w:rsid w:val="007766DA"/>
    <w:rsid w:val="0078282F"/>
    <w:rsid w:val="00782C49"/>
    <w:rsid w:val="00782E4D"/>
    <w:rsid w:val="0078338E"/>
    <w:rsid w:val="00787234"/>
    <w:rsid w:val="007873C3"/>
    <w:rsid w:val="007878D7"/>
    <w:rsid w:val="00790C22"/>
    <w:rsid w:val="007917CD"/>
    <w:rsid w:val="007920BF"/>
    <w:rsid w:val="00793EE0"/>
    <w:rsid w:val="00795C02"/>
    <w:rsid w:val="007964B7"/>
    <w:rsid w:val="007973F6"/>
    <w:rsid w:val="00797BCE"/>
    <w:rsid w:val="007A032B"/>
    <w:rsid w:val="007A0DF4"/>
    <w:rsid w:val="007A2974"/>
    <w:rsid w:val="007A574A"/>
    <w:rsid w:val="007A6194"/>
    <w:rsid w:val="007A79A3"/>
    <w:rsid w:val="007A7B9E"/>
    <w:rsid w:val="007B00FC"/>
    <w:rsid w:val="007B0A74"/>
    <w:rsid w:val="007B113B"/>
    <w:rsid w:val="007B1309"/>
    <w:rsid w:val="007B1949"/>
    <w:rsid w:val="007B1B39"/>
    <w:rsid w:val="007B37C6"/>
    <w:rsid w:val="007B397C"/>
    <w:rsid w:val="007B44E2"/>
    <w:rsid w:val="007B66E3"/>
    <w:rsid w:val="007B6D37"/>
    <w:rsid w:val="007B76D6"/>
    <w:rsid w:val="007C24B6"/>
    <w:rsid w:val="007C3B09"/>
    <w:rsid w:val="007C3C02"/>
    <w:rsid w:val="007C3E64"/>
    <w:rsid w:val="007C6080"/>
    <w:rsid w:val="007C6455"/>
    <w:rsid w:val="007C68EA"/>
    <w:rsid w:val="007C7316"/>
    <w:rsid w:val="007D0464"/>
    <w:rsid w:val="007D0683"/>
    <w:rsid w:val="007D095A"/>
    <w:rsid w:val="007D15E6"/>
    <w:rsid w:val="007D1ACB"/>
    <w:rsid w:val="007D24A5"/>
    <w:rsid w:val="007D4407"/>
    <w:rsid w:val="007D4E8F"/>
    <w:rsid w:val="007D5450"/>
    <w:rsid w:val="007E0564"/>
    <w:rsid w:val="007E05BE"/>
    <w:rsid w:val="007E1431"/>
    <w:rsid w:val="007E18EB"/>
    <w:rsid w:val="007E1D76"/>
    <w:rsid w:val="007E3306"/>
    <w:rsid w:val="007E41B9"/>
    <w:rsid w:val="007E4CE6"/>
    <w:rsid w:val="007E553F"/>
    <w:rsid w:val="007E55DE"/>
    <w:rsid w:val="007E59C5"/>
    <w:rsid w:val="007E63D8"/>
    <w:rsid w:val="007E6DE4"/>
    <w:rsid w:val="007E733A"/>
    <w:rsid w:val="007F00D9"/>
    <w:rsid w:val="007F0233"/>
    <w:rsid w:val="007F0B3E"/>
    <w:rsid w:val="007F0B70"/>
    <w:rsid w:val="007F2308"/>
    <w:rsid w:val="007F5294"/>
    <w:rsid w:val="007F6240"/>
    <w:rsid w:val="007F648F"/>
    <w:rsid w:val="007F79F3"/>
    <w:rsid w:val="007F7EBF"/>
    <w:rsid w:val="00800F5D"/>
    <w:rsid w:val="0080345A"/>
    <w:rsid w:val="00806B79"/>
    <w:rsid w:val="008071EA"/>
    <w:rsid w:val="00807E1D"/>
    <w:rsid w:val="008102EA"/>
    <w:rsid w:val="008108B9"/>
    <w:rsid w:val="00812CF6"/>
    <w:rsid w:val="0081360F"/>
    <w:rsid w:val="00813A54"/>
    <w:rsid w:val="00814338"/>
    <w:rsid w:val="00814B97"/>
    <w:rsid w:val="00815C60"/>
    <w:rsid w:val="008166F3"/>
    <w:rsid w:val="0081679F"/>
    <w:rsid w:val="0081771B"/>
    <w:rsid w:val="00817AF1"/>
    <w:rsid w:val="00817E2B"/>
    <w:rsid w:val="008203F3"/>
    <w:rsid w:val="0082062B"/>
    <w:rsid w:val="0082090C"/>
    <w:rsid w:val="00821178"/>
    <w:rsid w:val="008211DE"/>
    <w:rsid w:val="008221F1"/>
    <w:rsid w:val="00822517"/>
    <w:rsid w:val="00822732"/>
    <w:rsid w:val="00822BF6"/>
    <w:rsid w:val="0082385A"/>
    <w:rsid w:val="00825797"/>
    <w:rsid w:val="008266A4"/>
    <w:rsid w:val="00826DD6"/>
    <w:rsid w:val="00826F6E"/>
    <w:rsid w:val="008276D1"/>
    <w:rsid w:val="00830BDF"/>
    <w:rsid w:val="00830CAF"/>
    <w:rsid w:val="0083170C"/>
    <w:rsid w:val="00831E4E"/>
    <w:rsid w:val="00832A76"/>
    <w:rsid w:val="00832BA6"/>
    <w:rsid w:val="00832F23"/>
    <w:rsid w:val="00833221"/>
    <w:rsid w:val="00834331"/>
    <w:rsid w:val="00834DEB"/>
    <w:rsid w:val="0083501A"/>
    <w:rsid w:val="0083541C"/>
    <w:rsid w:val="008354E9"/>
    <w:rsid w:val="00835613"/>
    <w:rsid w:val="00837073"/>
    <w:rsid w:val="00837304"/>
    <w:rsid w:val="008402FE"/>
    <w:rsid w:val="0084113D"/>
    <w:rsid w:val="0084147D"/>
    <w:rsid w:val="00842AD4"/>
    <w:rsid w:val="00842FCC"/>
    <w:rsid w:val="00846A5E"/>
    <w:rsid w:val="00846E48"/>
    <w:rsid w:val="00847A9E"/>
    <w:rsid w:val="008503C2"/>
    <w:rsid w:val="00850411"/>
    <w:rsid w:val="00852292"/>
    <w:rsid w:val="008537B6"/>
    <w:rsid w:val="00855469"/>
    <w:rsid w:val="00855D04"/>
    <w:rsid w:val="00855F00"/>
    <w:rsid w:val="008567B5"/>
    <w:rsid w:val="008577A4"/>
    <w:rsid w:val="0086084F"/>
    <w:rsid w:val="008619AF"/>
    <w:rsid w:val="00862838"/>
    <w:rsid w:val="00862FB7"/>
    <w:rsid w:val="00864421"/>
    <w:rsid w:val="008647BF"/>
    <w:rsid w:val="00864902"/>
    <w:rsid w:val="00864B03"/>
    <w:rsid w:val="00864D86"/>
    <w:rsid w:val="008656A2"/>
    <w:rsid w:val="00867C01"/>
    <w:rsid w:val="008706CF"/>
    <w:rsid w:val="008707A7"/>
    <w:rsid w:val="0087178A"/>
    <w:rsid w:val="008723D2"/>
    <w:rsid w:val="00872937"/>
    <w:rsid w:val="00873523"/>
    <w:rsid w:val="00874E05"/>
    <w:rsid w:val="00875639"/>
    <w:rsid w:val="00877695"/>
    <w:rsid w:val="00877BAF"/>
    <w:rsid w:val="00877DF6"/>
    <w:rsid w:val="00881E8F"/>
    <w:rsid w:val="00883D1D"/>
    <w:rsid w:val="00884076"/>
    <w:rsid w:val="00885DBF"/>
    <w:rsid w:val="00885ED4"/>
    <w:rsid w:val="00886436"/>
    <w:rsid w:val="00886A51"/>
    <w:rsid w:val="00887371"/>
    <w:rsid w:val="00891BF7"/>
    <w:rsid w:val="00891F07"/>
    <w:rsid w:val="008922C7"/>
    <w:rsid w:val="0089356C"/>
    <w:rsid w:val="008948BE"/>
    <w:rsid w:val="00894B3B"/>
    <w:rsid w:val="00894E5E"/>
    <w:rsid w:val="00895457"/>
    <w:rsid w:val="00895690"/>
    <w:rsid w:val="00895F4B"/>
    <w:rsid w:val="00897782"/>
    <w:rsid w:val="00897EAD"/>
    <w:rsid w:val="008A0B40"/>
    <w:rsid w:val="008A1572"/>
    <w:rsid w:val="008A1812"/>
    <w:rsid w:val="008A1E3D"/>
    <w:rsid w:val="008A2338"/>
    <w:rsid w:val="008A2C7A"/>
    <w:rsid w:val="008A3271"/>
    <w:rsid w:val="008A4E38"/>
    <w:rsid w:val="008A5600"/>
    <w:rsid w:val="008A682D"/>
    <w:rsid w:val="008A77C2"/>
    <w:rsid w:val="008A7B9F"/>
    <w:rsid w:val="008A7D10"/>
    <w:rsid w:val="008B12CA"/>
    <w:rsid w:val="008B256F"/>
    <w:rsid w:val="008B30ED"/>
    <w:rsid w:val="008B4A75"/>
    <w:rsid w:val="008B5200"/>
    <w:rsid w:val="008B588A"/>
    <w:rsid w:val="008B59F0"/>
    <w:rsid w:val="008B5AA8"/>
    <w:rsid w:val="008B6A8F"/>
    <w:rsid w:val="008B74F6"/>
    <w:rsid w:val="008B7D66"/>
    <w:rsid w:val="008C28C3"/>
    <w:rsid w:val="008C30D6"/>
    <w:rsid w:val="008C4658"/>
    <w:rsid w:val="008C50B8"/>
    <w:rsid w:val="008C5B92"/>
    <w:rsid w:val="008C6E19"/>
    <w:rsid w:val="008D008D"/>
    <w:rsid w:val="008D04E4"/>
    <w:rsid w:val="008D074C"/>
    <w:rsid w:val="008D09D1"/>
    <w:rsid w:val="008D11ED"/>
    <w:rsid w:val="008D170B"/>
    <w:rsid w:val="008D25CF"/>
    <w:rsid w:val="008D3052"/>
    <w:rsid w:val="008D512F"/>
    <w:rsid w:val="008D6194"/>
    <w:rsid w:val="008D6B5F"/>
    <w:rsid w:val="008D7A51"/>
    <w:rsid w:val="008E0DEB"/>
    <w:rsid w:val="008E2A22"/>
    <w:rsid w:val="008E4692"/>
    <w:rsid w:val="008E5B53"/>
    <w:rsid w:val="008E7C9F"/>
    <w:rsid w:val="008E7E19"/>
    <w:rsid w:val="008F1855"/>
    <w:rsid w:val="008F1BDC"/>
    <w:rsid w:val="008F24E6"/>
    <w:rsid w:val="008F3801"/>
    <w:rsid w:val="008F3950"/>
    <w:rsid w:val="008F6B16"/>
    <w:rsid w:val="008F7F1F"/>
    <w:rsid w:val="009009CF"/>
    <w:rsid w:val="009014F4"/>
    <w:rsid w:val="00901A29"/>
    <w:rsid w:val="00902A98"/>
    <w:rsid w:val="0090346C"/>
    <w:rsid w:val="00904350"/>
    <w:rsid w:val="00904DB7"/>
    <w:rsid w:val="009054A2"/>
    <w:rsid w:val="00906039"/>
    <w:rsid w:val="009070F6"/>
    <w:rsid w:val="00910F69"/>
    <w:rsid w:val="009117C8"/>
    <w:rsid w:val="00911C80"/>
    <w:rsid w:val="00913E0D"/>
    <w:rsid w:val="00914144"/>
    <w:rsid w:val="00914DBF"/>
    <w:rsid w:val="009151E7"/>
    <w:rsid w:val="009156FB"/>
    <w:rsid w:val="00916219"/>
    <w:rsid w:val="00920D0B"/>
    <w:rsid w:val="00921C73"/>
    <w:rsid w:val="00923E7A"/>
    <w:rsid w:val="00924AAB"/>
    <w:rsid w:val="00924EC4"/>
    <w:rsid w:val="00924F4B"/>
    <w:rsid w:val="00925279"/>
    <w:rsid w:val="00925568"/>
    <w:rsid w:val="00925708"/>
    <w:rsid w:val="00925B27"/>
    <w:rsid w:val="00926D77"/>
    <w:rsid w:val="00926E3F"/>
    <w:rsid w:val="0093048E"/>
    <w:rsid w:val="0093085B"/>
    <w:rsid w:val="00931094"/>
    <w:rsid w:val="009317CE"/>
    <w:rsid w:val="00933295"/>
    <w:rsid w:val="00933649"/>
    <w:rsid w:val="0093371A"/>
    <w:rsid w:val="00934EAD"/>
    <w:rsid w:val="00935892"/>
    <w:rsid w:val="00936A89"/>
    <w:rsid w:val="009405A9"/>
    <w:rsid w:val="009408DA"/>
    <w:rsid w:val="00940B2D"/>
    <w:rsid w:val="00941000"/>
    <w:rsid w:val="0094360C"/>
    <w:rsid w:val="00945059"/>
    <w:rsid w:val="00945132"/>
    <w:rsid w:val="009474AA"/>
    <w:rsid w:val="00947E46"/>
    <w:rsid w:val="00950506"/>
    <w:rsid w:val="00950573"/>
    <w:rsid w:val="00951347"/>
    <w:rsid w:val="00951DB1"/>
    <w:rsid w:val="009529A2"/>
    <w:rsid w:val="00953569"/>
    <w:rsid w:val="00954E67"/>
    <w:rsid w:val="00955003"/>
    <w:rsid w:val="009563C6"/>
    <w:rsid w:val="00957E44"/>
    <w:rsid w:val="0096250B"/>
    <w:rsid w:val="00962B8A"/>
    <w:rsid w:val="00964164"/>
    <w:rsid w:val="0097053D"/>
    <w:rsid w:val="00971BB0"/>
    <w:rsid w:val="00972309"/>
    <w:rsid w:val="00972B20"/>
    <w:rsid w:val="00973414"/>
    <w:rsid w:val="0097366E"/>
    <w:rsid w:val="00973A4C"/>
    <w:rsid w:val="00973FDA"/>
    <w:rsid w:val="00974577"/>
    <w:rsid w:val="009746F7"/>
    <w:rsid w:val="009749BC"/>
    <w:rsid w:val="00974DB6"/>
    <w:rsid w:val="00975452"/>
    <w:rsid w:val="00975E9D"/>
    <w:rsid w:val="0097706C"/>
    <w:rsid w:val="00977CEC"/>
    <w:rsid w:val="00977F02"/>
    <w:rsid w:val="00980009"/>
    <w:rsid w:val="00980FB4"/>
    <w:rsid w:val="00982B15"/>
    <w:rsid w:val="009836BD"/>
    <w:rsid w:val="00983ED6"/>
    <w:rsid w:val="00984520"/>
    <w:rsid w:val="00986BA2"/>
    <w:rsid w:val="00990143"/>
    <w:rsid w:val="0099017C"/>
    <w:rsid w:val="0099083A"/>
    <w:rsid w:val="00990A13"/>
    <w:rsid w:val="00990C5F"/>
    <w:rsid w:val="009926D4"/>
    <w:rsid w:val="0099342E"/>
    <w:rsid w:val="009942D2"/>
    <w:rsid w:val="0099586C"/>
    <w:rsid w:val="00995B38"/>
    <w:rsid w:val="00995E34"/>
    <w:rsid w:val="0099623B"/>
    <w:rsid w:val="009962BF"/>
    <w:rsid w:val="00996A19"/>
    <w:rsid w:val="00996D87"/>
    <w:rsid w:val="009A12C9"/>
    <w:rsid w:val="009A1BA5"/>
    <w:rsid w:val="009A4A49"/>
    <w:rsid w:val="009A4C02"/>
    <w:rsid w:val="009A59F3"/>
    <w:rsid w:val="009A5E28"/>
    <w:rsid w:val="009A6B07"/>
    <w:rsid w:val="009B11FF"/>
    <w:rsid w:val="009B3FB6"/>
    <w:rsid w:val="009B412B"/>
    <w:rsid w:val="009B4611"/>
    <w:rsid w:val="009B5C06"/>
    <w:rsid w:val="009B6C1E"/>
    <w:rsid w:val="009B6CCC"/>
    <w:rsid w:val="009B70C6"/>
    <w:rsid w:val="009C0DFE"/>
    <w:rsid w:val="009C2B03"/>
    <w:rsid w:val="009C335E"/>
    <w:rsid w:val="009C363D"/>
    <w:rsid w:val="009C3C4E"/>
    <w:rsid w:val="009C5789"/>
    <w:rsid w:val="009C61A9"/>
    <w:rsid w:val="009C6CFC"/>
    <w:rsid w:val="009C7816"/>
    <w:rsid w:val="009C7EF0"/>
    <w:rsid w:val="009D0F04"/>
    <w:rsid w:val="009D0F48"/>
    <w:rsid w:val="009D11D5"/>
    <w:rsid w:val="009D48C8"/>
    <w:rsid w:val="009D4982"/>
    <w:rsid w:val="009D4EFE"/>
    <w:rsid w:val="009D602B"/>
    <w:rsid w:val="009D637C"/>
    <w:rsid w:val="009D6632"/>
    <w:rsid w:val="009D6731"/>
    <w:rsid w:val="009D6812"/>
    <w:rsid w:val="009D791D"/>
    <w:rsid w:val="009D7F5A"/>
    <w:rsid w:val="009E1B1A"/>
    <w:rsid w:val="009E2490"/>
    <w:rsid w:val="009E3B19"/>
    <w:rsid w:val="009E44FF"/>
    <w:rsid w:val="009E5659"/>
    <w:rsid w:val="009E60C1"/>
    <w:rsid w:val="009E74F9"/>
    <w:rsid w:val="009E757C"/>
    <w:rsid w:val="009F17EE"/>
    <w:rsid w:val="009F338D"/>
    <w:rsid w:val="009F38DA"/>
    <w:rsid w:val="009F4733"/>
    <w:rsid w:val="009F558C"/>
    <w:rsid w:val="009F5FC3"/>
    <w:rsid w:val="009F65B1"/>
    <w:rsid w:val="009F6B7B"/>
    <w:rsid w:val="009F7E68"/>
    <w:rsid w:val="00A016B6"/>
    <w:rsid w:val="00A01FCD"/>
    <w:rsid w:val="00A0259F"/>
    <w:rsid w:val="00A04760"/>
    <w:rsid w:val="00A05E44"/>
    <w:rsid w:val="00A07297"/>
    <w:rsid w:val="00A10AAF"/>
    <w:rsid w:val="00A10DB9"/>
    <w:rsid w:val="00A1197F"/>
    <w:rsid w:val="00A13551"/>
    <w:rsid w:val="00A13D4C"/>
    <w:rsid w:val="00A15C4F"/>
    <w:rsid w:val="00A15DDC"/>
    <w:rsid w:val="00A17184"/>
    <w:rsid w:val="00A1719F"/>
    <w:rsid w:val="00A201AB"/>
    <w:rsid w:val="00A20B61"/>
    <w:rsid w:val="00A219A7"/>
    <w:rsid w:val="00A232EF"/>
    <w:rsid w:val="00A25688"/>
    <w:rsid w:val="00A26E91"/>
    <w:rsid w:val="00A271EF"/>
    <w:rsid w:val="00A30C53"/>
    <w:rsid w:val="00A32242"/>
    <w:rsid w:val="00A327BE"/>
    <w:rsid w:val="00A352CD"/>
    <w:rsid w:val="00A35902"/>
    <w:rsid w:val="00A37A80"/>
    <w:rsid w:val="00A37B75"/>
    <w:rsid w:val="00A37CBE"/>
    <w:rsid w:val="00A44805"/>
    <w:rsid w:val="00A44E66"/>
    <w:rsid w:val="00A45116"/>
    <w:rsid w:val="00A45504"/>
    <w:rsid w:val="00A45EFA"/>
    <w:rsid w:val="00A47BE0"/>
    <w:rsid w:val="00A47C91"/>
    <w:rsid w:val="00A51183"/>
    <w:rsid w:val="00A53BC7"/>
    <w:rsid w:val="00A5478C"/>
    <w:rsid w:val="00A54835"/>
    <w:rsid w:val="00A551BE"/>
    <w:rsid w:val="00A55448"/>
    <w:rsid w:val="00A5555F"/>
    <w:rsid w:val="00A564AD"/>
    <w:rsid w:val="00A56ADB"/>
    <w:rsid w:val="00A56F22"/>
    <w:rsid w:val="00A60163"/>
    <w:rsid w:val="00A608AE"/>
    <w:rsid w:val="00A6120A"/>
    <w:rsid w:val="00A621F7"/>
    <w:rsid w:val="00A633AA"/>
    <w:rsid w:val="00A63CE7"/>
    <w:rsid w:val="00A649F9"/>
    <w:rsid w:val="00A64E40"/>
    <w:rsid w:val="00A66041"/>
    <w:rsid w:val="00A67412"/>
    <w:rsid w:val="00A67443"/>
    <w:rsid w:val="00A67F6F"/>
    <w:rsid w:val="00A70783"/>
    <w:rsid w:val="00A70822"/>
    <w:rsid w:val="00A726B9"/>
    <w:rsid w:val="00A72978"/>
    <w:rsid w:val="00A734D7"/>
    <w:rsid w:val="00A73A42"/>
    <w:rsid w:val="00A7549F"/>
    <w:rsid w:val="00A754CA"/>
    <w:rsid w:val="00A77A1D"/>
    <w:rsid w:val="00A7FE85"/>
    <w:rsid w:val="00A815D6"/>
    <w:rsid w:val="00A828C1"/>
    <w:rsid w:val="00A849F5"/>
    <w:rsid w:val="00A84EE7"/>
    <w:rsid w:val="00A850C4"/>
    <w:rsid w:val="00A86037"/>
    <w:rsid w:val="00A8711B"/>
    <w:rsid w:val="00A879BE"/>
    <w:rsid w:val="00A90985"/>
    <w:rsid w:val="00A90E18"/>
    <w:rsid w:val="00A931C7"/>
    <w:rsid w:val="00A93CB5"/>
    <w:rsid w:val="00A96CBE"/>
    <w:rsid w:val="00A97CA6"/>
    <w:rsid w:val="00AA0868"/>
    <w:rsid w:val="00AA1699"/>
    <w:rsid w:val="00AA1847"/>
    <w:rsid w:val="00AA2323"/>
    <w:rsid w:val="00AA3AD0"/>
    <w:rsid w:val="00AA4962"/>
    <w:rsid w:val="00AA5D28"/>
    <w:rsid w:val="00AA6AA2"/>
    <w:rsid w:val="00AA6B3A"/>
    <w:rsid w:val="00AA715B"/>
    <w:rsid w:val="00AA71CE"/>
    <w:rsid w:val="00AA7610"/>
    <w:rsid w:val="00AB06BD"/>
    <w:rsid w:val="00AB0760"/>
    <w:rsid w:val="00AB2FFB"/>
    <w:rsid w:val="00AB30C1"/>
    <w:rsid w:val="00AB3AD3"/>
    <w:rsid w:val="00AB451A"/>
    <w:rsid w:val="00AB45D3"/>
    <w:rsid w:val="00AB4A6D"/>
    <w:rsid w:val="00AB5A6A"/>
    <w:rsid w:val="00AB60AA"/>
    <w:rsid w:val="00AB6BEE"/>
    <w:rsid w:val="00AB7545"/>
    <w:rsid w:val="00AC0622"/>
    <w:rsid w:val="00AC0A03"/>
    <w:rsid w:val="00AC12BE"/>
    <w:rsid w:val="00AC21B2"/>
    <w:rsid w:val="00AC2806"/>
    <w:rsid w:val="00AC41EA"/>
    <w:rsid w:val="00AC4967"/>
    <w:rsid w:val="00AC6E43"/>
    <w:rsid w:val="00AC7F81"/>
    <w:rsid w:val="00AC7FB7"/>
    <w:rsid w:val="00AD00C3"/>
    <w:rsid w:val="00AD05EF"/>
    <w:rsid w:val="00AD0A33"/>
    <w:rsid w:val="00AD13BA"/>
    <w:rsid w:val="00AD1760"/>
    <w:rsid w:val="00AD3C67"/>
    <w:rsid w:val="00AD5121"/>
    <w:rsid w:val="00AD63A8"/>
    <w:rsid w:val="00AD7120"/>
    <w:rsid w:val="00AD779C"/>
    <w:rsid w:val="00AE298F"/>
    <w:rsid w:val="00AE3078"/>
    <w:rsid w:val="00AE344C"/>
    <w:rsid w:val="00AE37CC"/>
    <w:rsid w:val="00AE3CFA"/>
    <w:rsid w:val="00AE4672"/>
    <w:rsid w:val="00AE6151"/>
    <w:rsid w:val="00AE6785"/>
    <w:rsid w:val="00AF0AB4"/>
    <w:rsid w:val="00AF1BB7"/>
    <w:rsid w:val="00AF243B"/>
    <w:rsid w:val="00AF32FD"/>
    <w:rsid w:val="00AF45E1"/>
    <w:rsid w:val="00AF54FB"/>
    <w:rsid w:val="00AF7384"/>
    <w:rsid w:val="00AF78AC"/>
    <w:rsid w:val="00B00B58"/>
    <w:rsid w:val="00B01592"/>
    <w:rsid w:val="00B01D01"/>
    <w:rsid w:val="00B01F7C"/>
    <w:rsid w:val="00B023AE"/>
    <w:rsid w:val="00B02F3D"/>
    <w:rsid w:val="00B030F8"/>
    <w:rsid w:val="00B03262"/>
    <w:rsid w:val="00B035BC"/>
    <w:rsid w:val="00B03D40"/>
    <w:rsid w:val="00B0523B"/>
    <w:rsid w:val="00B05AA2"/>
    <w:rsid w:val="00B0606B"/>
    <w:rsid w:val="00B06395"/>
    <w:rsid w:val="00B06430"/>
    <w:rsid w:val="00B06F4C"/>
    <w:rsid w:val="00B10DD3"/>
    <w:rsid w:val="00B10F41"/>
    <w:rsid w:val="00B111DC"/>
    <w:rsid w:val="00B11D82"/>
    <w:rsid w:val="00B12538"/>
    <w:rsid w:val="00B12782"/>
    <w:rsid w:val="00B16A49"/>
    <w:rsid w:val="00B17FBB"/>
    <w:rsid w:val="00B20C1E"/>
    <w:rsid w:val="00B21041"/>
    <w:rsid w:val="00B21438"/>
    <w:rsid w:val="00B21530"/>
    <w:rsid w:val="00B21B16"/>
    <w:rsid w:val="00B21EEA"/>
    <w:rsid w:val="00B2266D"/>
    <w:rsid w:val="00B22868"/>
    <w:rsid w:val="00B2287F"/>
    <w:rsid w:val="00B22C73"/>
    <w:rsid w:val="00B238B4"/>
    <w:rsid w:val="00B23AC3"/>
    <w:rsid w:val="00B2408A"/>
    <w:rsid w:val="00B250FD"/>
    <w:rsid w:val="00B27617"/>
    <w:rsid w:val="00B278AE"/>
    <w:rsid w:val="00B27A0C"/>
    <w:rsid w:val="00B27FB8"/>
    <w:rsid w:val="00B3041F"/>
    <w:rsid w:val="00B31223"/>
    <w:rsid w:val="00B31938"/>
    <w:rsid w:val="00B32194"/>
    <w:rsid w:val="00B32C18"/>
    <w:rsid w:val="00B33163"/>
    <w:rsid w:val="00B344C5"/>
    <w:rsid w:val="00B3467F"/>
    <w:rsid w:val="00B40640"/>
    <w:rsid w:val="00B442E2"/>
    <w:rsid w:val="00B450B2"/>
    <w:rsid w:val="00B4544B"/>
    <w:rsid w:val="00B45860"/>
    <w:rsid w:val="00B458B9"/>
    <w:rsid w:val="00B4760B"/>
    <w:rsid w:val="00B51310"/>
    <w:rsid w:val="00B51D26"/>
    <w:rsid w:val="00B5237F"/>
    <w:rsid w:val="00B52C4B"/>
    <w:rsid w:val="00B52EAF"/>
    <w:rsid w:val="00B5668F"/>
    <w:rsid w:val="00B57048"/>
    <w:rsid w:val="00B5726D"/>
    <w:rsid w:val="00B60C6A"/>
    <w:rsid w:val="00B61444"/>
    <w:rsid w:val="00B61B68"/>
    <w:rsid w:val="00B62B24"/>
    <w:rsid w:val="00B63610"/>
    <w:rsid w:val="00B63D90"/>
    <w:rsid w:val="00B63F0F"/>
    <w:rsid w:val="00B65037"/>
    <w:rsid w:val="00B65FCE"/>
    <w:rsid w:val="00B66744"/>
    <w:rsid w:val="00B6690E"/>
    <w:rsid w:val="00B66ACE"/>
    <w:rsid w:val="00B702DC"/>
    <w:rsid w:val="00B713F7"/>
    <w:rsid w:val="00B71C7B"/>
    <w:rsid w:val="00B728E0"/>
    <w:rsid w:val="00B73066"/>
    <w:rsid w:val="00B73930"/>
    <w:rsid w:val="00B762F9"/>
    <w:rsid w:val="00B772BE"/>
    <w:rsid w:val="00B7744B"/>
    <w:rsid w:val="00B774AF"/>
    <w:rsid w:val="00B778FB"/>
    <w:rsid w:val="00B77D7C"/>
    <w:rsid w:val="00B806EF"/>
    <w:rsid w:val="00B81E65"/>
    <w:rsid w:val="00B840B4"/>
    <w:rsid w:val="00B8462E"/>
    <w:rsid w:val="00B84724"/>
    <w:rsid w:val="00B84AB2"/>
    <w:rsid w:val="00B8532F"/>
    <w:rsid w:val="00B85C80"/>
    <w:rsid w:val="00B86CCB"/>
    <w:rsid w:val="00B8796F"/>
    <w:rsid w:val="00B90798"/>
    <w:rsid w:val="00B90C41"/>
    <w:rsid w:val="00B915D0"/>
    <w:rsid w:val="00B91F1A"/>
    <w:rsid w:val="00B91F2F"/>
    <w:rsid w:val="00B9249B"/>
    <w:rsid w:val="00B92D68"/>
    <w:rsid w:val="00B941D0"/>
    <w:rsid w:val="00B9542C"/>
    <w:rsid w:val="00B9567D"/>
    <w:rsid w:val="00B95E2D"/>
    <w:rsid w:val="00B963CE"/>
    <w:rsid w:val="00B964F1"/>
    <w:rsid w:val="00B96772"/>
    <w:rsid w:val="00B9679F"/>
    <w:rsid w:val="00B97087"/>
    <w:rsid w:val="00BA0375"/>
    <w:rsid w:val="00BA1BDE"/>
    <w:rsid w:val="00BA3C67"/>
    <w:rsid w:val="00BA4A8F"/>
    <w:rsid w:val="00BA4B2C"/>
    <w:rsid w:val="00BA570C"/>
    <w:rsid w:val="00BA604F"/>
    <w:rsid w:val="00BA6920"/>
    <w:rsid w:val="00BA6B33"/>
    <w:rsid w:val="00BA71A5"/>
    <w:rsid w:val="00BA75B9"/>
    <w:rsid w:val="00BA77B6"/>
    <w:rsid w:val="00BB18FB"/>
    <w:rsid w:val="00BB29A7"/>
    <w:rsid w:val="00BB34C4"/>
    <w:rsid w:val="00BB3706"/>
    <w:rsid w:val="00BB3F60"/>
    <w:rsid w:val="00BB461D"/>
    <w:rsid w:val="00BB4903"/>
    <w:rsid w:val="00BB4B5C"/>
    <w:rsid w:val="00BB58F7"/>
    <w:rsid w:val="00BB6AD5"/>
    <w:rsid w:val="00BB6DEF"/>
    <w:rsid w:val="00BB769E"/>
    <w:rsid w:val="00BC2B5B"/>
    <w:rsid w:val="00BC3DCF"/>
    <w:rsid w:val="00BC4149"/>
    <w:rsid w:val="00BC4DFA"/>
    <w:rsid w:val="00BC5E32"/>
    <w:rsid w:val="00BC62FF"/>
    <w:rsid w:val="00BC63C7"/>
    <w:rsid w:val="00BC7130"/>
    <w:rsid w:val="00BD0B58"/>
    <w:rsid w:val="00BD210A"/>
    <w:rsid w:val="00BD37CD"/>
    <w:rsid w:val="00BD37E2"/>
    <w:rsid w:val="00BD3937"/>
    <w:rsid w:val="00BD436D"/>
    <w:rsid w:val="00BD6D1F"/>
    <w:rsid w:val="00BD7434"/>
    <w:rsid w:val="00BD751F"/>
    <w:rsid w:val="00BE0867"/>
    <w:rsid w:val="00BE195E"/>
    <w:rsid w:val="00BE1C07"/>
    <w:rsid w:val="00BE1EF0"/>
    <w:rsid w:val="00BE2770"/>
    <w:rsid w:val="00BE3059"/>
    <w:rsid w:val="00BE4EA7"/>
    <w:rsid w:val="00BE527C"/>
    <w:rsid w:val="00BE55B1"/>
    <w:rsid w:val="00BE64A2"/>
    <w:rsid w:val="00BE7460"/>
    <w:rsid w:val="00BE7BE5"/>
    <w:rsid w:val="00BF0D35"/>
    <w:rsid w:val="00BF1E10"/>
    <w:rsid w:val="00BF24B6"/>
    <w:rsid w:val="00BF3C90"/>
    <w:rsid w:val="00BF437C"/>
    <w:rsid w:val="00BF54F4"/>
    <w:rsid w:val="00BF55CE"/>
    <w:rsid w:val="00BF5B3C"/>
    <w:rsid w:val="00BF60FC"/>
    <w:rsid w:val="00BF6A73"/>
    <w:rsid w:val="00BF6D3A"/>
    <w:rsid w:val="00BF6F8A"/>
    <w:rsid w:val="00BF711F"/>
    <w:rsid w:val="00BF7EB1"/>
    <w:rsid w:val="00C021E8"/>
    <w:rsid w:val="00C02D09"/>
    <w:rsid w:val="00C039C9"/>
    <w:rsid w:val="00C04784"/>
    <w:rsid w:val="00C059CC"/>
    <w:rsid w:val="00C05BAD"/>
    <w:rsid w:val="00C060EF"/>
    <w:rsid w:val="00C07D90"/>
    <w:rsid w:val="00C07DD4"/>
    <w:rsid w:val="00C11498"/>
    <w:rsid w:val="00C116DD"/>
    <w:rsid w:val="00C11E7F"/>
    <w:rsid w:val="00C13E4F"/>
    <w:rsid w:val="00C13E67"/>
    <w:rsid w:val="00C1510F"/>
    <w:rsid w:val="00C1548F"/>
    <w:rsid w:val="00C1598E"/>
    <w:rsid w:val="00C1661F"/>
    <w:rsid w:val="00C16C4C"/>
    <w:rsid w:val="00C17566"/>
    <w:rsid w:val="00C21912"/>
    <w:rsid w:val="00C21CF7"/>
    <w:rsid w:val="00C23E59"/>
    <w:rsid w:val="00C24005"/>
    <w:rsid w:val="00C2402E"/>
    <w:rsid w:val="00C26431"/>
    <w:rsid w:val="00C26AA5"/>
    <w:rsid w:val="00C26E51"/>
    <w:rsid w:val="00C26E73"/>
    <w:rsid w:val="00C2715D"/>
    <w:rsid w:val="00C2759D"/>
    <w:rsid w:val="00C3007D"/>
    <w:rsid w:val="00C306EB"/>
    <w:rsid w:val="00C3143D"/>
    <w:rsid w:val="00C32151"/>
    <w:rsid w:val="00C32153"/>
    <w:rsid w:val="00C3221E"/>
    <w:rsid w:val="00C322C2"/>
    <w:rsid w:val="00C32F0C"/>
    <w:rsid w:val="00C33B1D"/>
    <w:rsid w:val="00C33CCB"/>
    <w:rsid w:val="00C34EA8"/>
    <w:rsid w:val="00C350E8"/>
    <w:rsid w:val="00C367F6"/>
    <w:rsid w:val="00C36F2F"/>
    <w:rsid w:val="00C40487"/>
    <w:rsid w:val="00C408B1"/>
    <w:rsid w:val="00C40D7D"/>
    <w:rsid w:val="00C40F87"/>
    <w:rsid w:val="00C41132"/>
    <w:rsid w:val="00C41B71"/>
    <w:rsid w:val="00C4252A"/>
    <w:rsid w:val="00C42835"/>
    <w:rsid w:val="00C428BF"/>
    <w:rsid w:val="00C42D7A"/>
    <w:rsid w:val="00C44768"/>
    <w:rsid w:val="00C47BAB"/>
    <w:rsid w:val="00C5002D"/>
    <w:rsid w:val="00C50398"/>
    <w:rsid w:val="00C503F4"/>
    <w:rsid w:val="00C519ED"/>
    <w:rsid w:val="00C52636"/>
    <w:rsid w:val="00C53043"/>
    <w:rsid w:val="00C55743"/>
    <w:rsid w:val="00C56EFF"/>
    <w:rsid w:val="00C6040A"/>
    <w:rsid w:val="00C61A9A"/>
    <w:rsid w:val="00C62BE0"/>
    <w:rsid w:val="00C6369A"/>
    <w:rsid w:val="00C640EC"/>
    <w:rsid w:val="00C655DE"/>
    <w:rsid w:val="00C66536"/>
    <w:rsid w:val="00C66577"/>
    <w:rsid w:val="00C67B97"/>
    <w:rsid w:val="00C7027A"/>
    <w:rsid w:val="00C70786"/>
    <w:rsid w:val="00C70885"/>
    <w:rsid w:val="00C72104"/>
    <w:rsid w:val="00C72CD4"/>
    <w:rsid w:val="00C73563"/>
    <w:rsid w:val="00C74B75"/>
    <w:rsid w:val="00C74C91"/>
    <w:rsid w:val="00C74D88"/>
    <w:rsid w:val="00C75AB5"/>
    <w:rsid w:val="00C75B71"/>
    <w:rsid w:val="00C83CE3"/>
    <w:rsid w:val="00C842D9"/>
    <w:rsid w:val="00C84BAE"/>
    <w:rsid w:val="00C85DBA"/>
    <w:rsid w:val="00C868A6"/>
    <w:rsid w:val="00C86D45"/>
    <w:rsid w:val="00C87228"/>
    <w:rsid w:val="00C879BA"/>
    <w:rsid w:val="00C91882"/>
    <w:rsid w:val="00C92F63"/>
    <w:rsid w:val="00C93C21"/>
    <w:rsid w:val="00C94AB1"/>
    <w:rsid w:val="00C94EA4"/>
    <w:rsid w:val="00C956A5"/>
    <w:rsid w:val="00CA0190"/>
    <w:rsid w:val="00CA1397"/>
    <w:rsid w:val="00CA14B8"/>
    <w:rsid w:val="00CA1631"/>
    <w:rsid w:val="00CA17A6"/>
    <w:rsid w:val="00CA1C0B"/>
    <w:rsid w:val="00CA1F63"/>
    <w:rsid w:val="00CA3289"/>
    <w:rsid w:val="00CA376A"/>
    <w:rsid w:val="00CA7476"/>
    <w:rsid w:val="00CB161F"/>
    <w:rsid w:val="00CB1E25"/>
    <w:rsid w:val="00CB5611"/>
    <w:rsid w:val="00CB5937"/>
    <w:rsid w:val="00CB6C14"/>
    <w:rsid w:val="00CB7E11"/>
    <w:rsid w:val="00CB7E2D"/>
    <w:rsid w:val="00CC0D92"/>
    <w:rsid w:val="00CC0F35"/>
    <w:rsid w:val="00CC41D5"/>
    <w:rsid w:val="00CC4CB2"/>
    <w:rsid w:val="00CC51B0"/>
    <w:rsid w:val="00CC729A"/>
    <w:rsid w:val="00CD0AAC"/>
    <w:rsid w:val="00CD1F29"/>
    <w:rsid w:val="00CD33B6"/>
    <w:rsid w:val="00CD43CB"/>
    <w:rsid w:val="00CD450F"/>
    <w:rsid w:val="00CD50B7"/>
    <w:rsid w:val="00CD6367"/>
    <w:rsid w:val="00CD6381"/>
    <w:rsid w:val="00CE02E2"/>
    <w:rsid w:val="00CE16C9"/>
    <w:rsid w:val="00CE18DB"/>
    <w:rsid w:val="00CE1C02"/>
    <w:rsid w:val="00CE26B7"/>
    <w:rsid w:val="00CE2910"/>
    <w:rsid w:val="00CE2D6C"/>
    <w:rsid w:val="00CE3263"/>
    <w:rsid w:val="00CE433A"/>
    <w:rsid w:val="00CE45B8"/>
    <w:rsid w:val="00CE522C"/>
    <w:rsid w:val="00CE524C"/>
    <w:rsid w:val="00CE67C6"/>
    <w:rsid w:val="00CE6FAE"/>
    <w:rsid w:val="00CE753A"/>
    <w:rsid w:val="00CE7DCB"/>
    <w:rsid w:val="00CE7FDC"/>
    <w:rsid w:val="00CF0114"/>
    <w:rsid w:val="00CF1AC3"/>
    <w:rsid w:val="00CF42B3"/>
    <w:rsid w:val="00CF5390"/>
    <w:rsid w:val="00CF55A5"/>
    <w:rsid w:val="00CF70DE"/>
    <w:rsid w:val="00CF7680"/>
    <w:rsid w:val="00CF7AD4"/>
    <w:rsid w:val="00D00339"/>
    <w:rsid w:val="00D011ED"/>
    <w:rsid w:val="00D013ED"/>
    <w:rsid w:val="00D05244"/>
    <w:rsid w:val="00D0732D"/>
    <w:rsid w:val="00D07341"/>
    <w:rsid w:val="00D108D6"/>
    <w:rsid w:val="00D11B00"/>
    <w:rsid w:val="00D12B85"/>
    <w:rsid w:val="00D136A4"/>
    <w:rsid w:val="00D140C3"/>
    <w:rsid w:val="00D152C1"/>
    <w:rsid w:val="00D1560E"/>
    <w:rsid w:val="00D15630"/>
    <w:rsid w:val="00D15B9A"/>
    <w:rsid w:val="00D15C10"/>
    <w:rsid w:val="00D15DEC"/>
    <w:rsid w:val="00D164A8"/>
    <w:rsid w:val="00D1682E"/>
    <w:rsid w:val="00D16B7B"/>
    <w:rsid w:val="00D208E8"/>
    <w:rsid w:val="00D20B39"/>
    <w:rsid w:val="00D233F0"/>
    <w:rsid w:val="00D23C71"/>
    <w:rsid w:val="00D240C6"/>
    <w:rsid w:val="00D24336"/>
    <w:rsid w:val="00D24EC1"/>
    <w:rsid w:val="00D2568D"/>
    <w:rsid w:val="00D277BB"/>
    <w:rsid w:val="00D30805"/>
    <w:rsid w:val="00D31804"/>
    <w:rsid w:val="00D31C3E"/>
    <w:rsid w:val="00D330B9"/>
    <w:rsid w:val="00D33CE8"/>
    <w:rsid w:val="00D33D01"/>
    <w:rsid w:val="00D3528B"/>
    <w:rsid w:val="00D3580E"/>
    <w:rsid w:val="00D35A8B"/>
    <w:rsid w:val="00D36114"/>
    <w:rsid w:val="00D3641D"/>
    <w:rsid w:val="00D378BD"/>
    <w:rsid w:val="00D37CFC"/>
    <w:rsid w:val="00D40F81"/>
    <w:rsid w:val="00D4115C"/>
    <w:rsid w:val="00D42B3C"/>
    <w:rsid w:val="00D42C9E"/>
    <w:rsid w:val="00D44086"/>
    <w:rsid w:val="00D46B84"/>
    <w:rsid w:val="00D46E81"/>
    <w:rsid w:val="00D517BC"/>
    <w:rsid w:val="00D520D6"/>
    <w:rsid w:val="00D522E8"/>
    <w:rsid w:val="00D52688"/>
    <w:rsid w:val="00D52879"/>
    <w:rsid w:val="00D5585B"/>
    <w:rsid w:val="00D55DFD"/>
    <w:rsid w:val="00D56B62"/>
    <w:rsid w:val="00D5716B"/>
    <w:rsid w:val="00D62676"/>
    <w:rsid w:val="00D641D5"/>
    <w:rsid w:val="00D64F0F"/>
    <w:rsid w:val="00D6572C"/>
    <w:rsid w:val="00D657A5"/>
    <w:rsid w:val="00D67C12"/>
    <w:rsid w:val="00D67CA9"/>
    <w:rsid w:val="00D70A3B"/>
    <w:rsid w:val="00D71E1C"/>
    <w:rsid w:val="00D72212"/>
    <w:rsid w:val="00D731C4"/>
    <w:rsid w:val="00D73A20"/>
    <w:rsid w:val="00D73E42"/>
    <w:rsid w:val="00D74B82"/>
    <w:rsid w:val="00D76143"/>
    <w:rsid w:val="00D8031E"/>
    <w:rsid w:val="00D81117"/>
    <w:rsid w:val="00D822A5"/>
    <w:rsid w:val="00D8268F"/>
    <w:rsid w:val="00D82C5B"/>
    <w:rsid w:val="00D84191"/>
    <w:rsid w:val="00D84814"/>
    <w:rsid w:val="00D84AB8"/>
    <w:rsid w:val="00D85C5B"/>
    <w:rsid w:val="00D860A2"/>
    <w:rsid w:val="00D8629A"/>
    <w:rsid w:val="00D86371"/>
    <w:rsid w:val="00D878E2"/>
    <w:rsid w:val="00D90128"/>
    <w:rsid w:val="00D90321"/>
    <w:rsid w:val="00D90549"/>
    <w:rsid w:val="00D90C47"/>
    <w:rsid w:val="00D90D18"/>
    <w:rsid w:val="00D92AE5"/>
    <w:rsid w:val="00D937E0"/>
    <w:rsid w:val="00D947DE"/>
    <w:rsid w:val="00D94D7E"/>
    <w:rsid w:val="00D9512B"/>
    <w:rsid w:val="00D951E6"/>
    <w:rsid w:val="00D95291"/>
    <w:rsid w:val="00D95834"/>
    <w:rsid w:val="00D96722"/>
    <w:rsid w:val="00D97B08"/>
    <w:rsid w:val="00DA05D7"/>
    <w:rsid w:val="00DA0CDF"/>
    <w:rsid w:val="00DA173C"/>
    <w:rsid w:val="00DA1CE9"/>
    <w:rsid w:val="00DA2FDB"/>
    <w:rsid w:val="00DA3664"/>
    <w:rsid w:val="00DA3697"/>
    <w:rsid w:val="00DA4500"/>
    <w:rsid w:val="00DA4DB4"/>
    <w:rsid w:val="00DA5324"/>
    <w:rsid w:val="00DA5CC0"/>
    <w:rsid w:val="00DA5DB1"/>
    <w:rsid w:val="00DA6503"/>
    <w:rsid w:val="00DA685E"/>
    <w:rsid w:val="00DA719E"/>
    <w:rsid w:val="00DB1013"/>
    <w:rsid w:val="00DB1419"/>
    <w:rsid w:val="00DB293A"/>
    <w:rsid w:val="00DB2B16"/>
    <w:rsid w:val="00DB343E"/>
    <w:rsid w:val="00DB3E9A"/>
    <w:rsid w:val="00DB4B5F"/>
    <w:rsid w:val="00DB4EC2"/>
    <w:rsid w:val="00DB586A"/>
    <w:rsid w:val="00DB6036"/>
    <w:rsid w:val="00DB6640"/>
    <w:rsid w:val="00DB682D"/>
    <w:rsid w:val="00DB6B69"/>
    <w:rsid w:val="00DB6F6F"/>
    <w:rsid w:val="00DB756A"/>
    <w:rsid w:val="00DB76ED"/>
    <w:rsid w:val="00DC1DC3"/>
    <w:rsid w:val="00DC1F21"/>
    <w:rsid w:val="00DC21C3"/>
    <w:rsid w:val="00DC2928"/>
    <w:rsid w:val="00DC3E59"/>
    <w:rsid w:val="00DC40DC"/>
    <w:rsid w:val="00DC4119"/>
    <w:rsid w:val="00DC44E6"/>
    <w:rsid w:val="00DC57A9"/>
    <w:rsid w:val="00DC5E3D"/>
    <w:rsid w:val="00DD3BF8"/>
    <w:rsid w:val="00DD3C6B"/>
    <w:rsid w:val="00DD4355"/>
    <w:rsid w:val="00DD49DE"/>
    <w:rsid w:val="00DD53FE"/>
    <w:rsid w:val="00DD6031"/>
    <w:rsid w:val="00DD63C1"/>
    <w:rsid w:val="00DD6C2E"/>
    <w:rsid w:val="00DD7253"/>
    <w:rsid w:val="00DD7C30"/>
    <w:rsid w:val="00DE0933"/>
    <w:rsid w:val="00DE1E7A"/>
    <w:rsid w:val="00DE35FA"/>
    <w:rsid w:val="00DE37B3"/>
    <w:rsid w:val="00DE444A"/>
    <w:rsid w:val="00DE4789"/>
    <w:rsid w:val="00DE4C38"/>
    <w:rsid w:val="00DE5673"/>
    <w:rsid w:val="00DE5699"/>
    <w:rsid w:val="00DE57FD"/>
    <w:rsid w:val="00DE686A"/>
    <w:rsid w:val="00DE6B92"/>
    <w:rsid w:val="00DE7EE0"/>
    <w:rsid w:val="00DF0284"/>
    <w:rsid w:val="00DF155F"/>
    <w:rsid w:val="00DF1F80"/>
    <w:rsid w:val="00DF2451"/>
    <w:rsid w:val="00DF2A65"/>
    <w:rsid w:val="00DF3567"/>
    <w:rsid w:val="00DF51C5"/>
    <w:rsid w:val="00DF520E"/>
    <w:rsid w:val="00DF52E0"/>
    <w:rsid w:val="00DF5A32"/>
    <w:rsid w:val="00DF66A3"/>
    <w:rsid w:val="00DF7C9D"/>
    <w:rsid w:val="00E008C7"/>
    <w:rsid w:val="00E00AEF"/>
    <w:rsid w:val="00E01009"/>
    <w:rsid w:val="00E01068"/>
    <w:rsid w:val="00E010C4"/>
    <w:rsid w:val="00E01478"/>
    <w:rsid w:val="00E037D8"/>
    <w:rsid w:val="00E04423"/>
    <w:rsid w:val="00E045FC"/>
    <w:rsid w:val="00E0504C"/>
    <w:rsid w:val="00E056F8"/>
    <w:rsid w:val="00E05E8C"/>
    <w:rsid w:val="00E1101D"/>
    <w:rsid w:val="00E115C8"/>
    <w:rsid w:val="00E11811"/>
    <w:rsid w:val="00E12596"/>
    <w:rsid w:val="00E12C10"/>
    <w:rsid w:val="00E14A2C"/>
    <w:rsid w:val="00E15068"/>
    <w:rsid w:val="00E15F8B"/>
    <w:rsid w:val="00E1760D"/>
    <w:rsid w:val="00E20841"/>
    <w:rsid w:val="00E20DD3"/>
    <w:rsid w:val="00E21064"/>
    <w:rsid w:val="00E2133D"/>
    <w:rsid w:val="00E2161E"/>
    <w:rsid w:val="00E21C60"/>
    <w:rsid w:val="00E220A9"/>
    <w:rsid w:val="00E22343"/>
    <w:rsid w:val="00E22FD0"/>
    <w:rsid w:val="00E2533E"/>
    <w:rsid w:val="00E26856"/>
    <w:rsid w:val="00E26ED9"/>
    <w:rsid w:val="00E26FD7"/>
    <w:rsid w:val="00E2721E"/>
    <w:rsid w:val="00E27956"/>
    <w:rsid w:val="00E27CDD"/>
    <w:rsid w:val="00E3006E"/>
    <w:rsid w:val="00E315B5"/>
    <w:rsid w:val="00E31AB8"/>
    <w:rsid w:val="00E31E23"/>
    <w:rsid w:val="00E32B5A"/>
    <w:rsid w:val="00E33CF2"/>
    <w:rsid w:val="00E33D29"/>
    <w:rsid w:val="00E35123"/>
    <w:rsid w:val="00E3519B"/>
    <w:rsid w:val="00E362D1"/>
    <w:rsid w:val="00E371DF"/>
    <w:rsid w:val="00E3782A"/>
    <w:rsid w:val="00E37C2F"/>
    <w:rsid w:val="00E40888"/>
    <w:rsid w:val="00E40ACB"/>
    <w:rsid w:val="00E40D3A"/>
    <w:rsid w:val="00E40DB1"/>
    <w:rsid w:val="00E42EE0"/>
    <w:rsid w:val="00E43F78"/>
    <w:rsid w:val="00E44EA2"/>
    <w:rsid w:val="00E460BF"/>
    <w:rsid w:val="00E4633B"/>
    <w:rsid w:val="00E47363"/>
    <w:rsid w:val="00E47644"/>
    <w:rsid w:val="00E47806"/>
    <w:rsid w:val="00E506DA"/>
    <w:rsid w:val="00E50CD9"/>
    <w:rsid w:val="00E50EF8"/>
    <w:rsid w:val="00E51EBC"/>
    <w:rsid w:val="00E53787"/>
    <w:rsid w:val="00E545DA"/>
    <w:rsid w:val="00E5477D"/>
    <w:rsid w:val="00E5479C"/>
    <w:rsid w:val="00E54B54"/>
    <w:rsid w:val="00E54D83"/>
    <w:rsid w:val="00E56C5D"/>
    <w:rsid w:val="00E60622"/>
    <w:rsid w:val="00E6381B"/>
    <w:rsid w:val="00E64C20"/>
    <w:rsid w:val="00E64E62"/>
    <w:rsid w:val="00E64F35"/>
    <w:rsid w:val="00E66CAC"/>
    <w:rsid w:val="00E67546"/>
    <w:rsid w:val="00E67CBA"/>
    <w:rsid w:val="00E70D55"/>
    <w:rsid w:val="00E71E17"/>
    <w:rsid w:val="00E727E1"/>
    <w:rsid w:val="00E74187"/>
    <w:rsid w:val="00E756F3"/>
    <w:rsid w:val="00E7630C"/>
    <w:rsid w:val="00E76B89"/>
    <w:rsid w:val="00E76FE0"/>
    <w:rsid w:val="00E802AF"/>
    <w:rsid w:val="00E806F8"/>
    <w:rsid w:val="00E8079E"/>
    <w:rsid w:val="00E80AAA"/>
    <w:rsid w:val="00E80EA7"/>
    <w:rsid w:val="00E8112F"/>
    <w:rsid w:val="00E81439"/>
    <w:rsid w:val="00E8241E"/>
    <w:rsid w:val="00E82C17"/>
    <w:rsid w:val="00E82DBE"/>
    <w:rsid w:val="00E8307D"/>
    <w:rsid w:val="00E833F7"/>
    <w:rsid w:val="00E83BFC"/>
    <w:rsid w:val="00E856D4"/>
    <w:rsid w:val="00E85AD3"/>
    <w:rsid w:val="00E86D58"/>
    <w:rsid w:val="00E909BC"/>
    <w:rsid w:val="00E90FB8"/>
    <w:rsid w:val="00E9166A"/>
    <w:rsid w:val="00E947DA"/>
    <w:rsid w:val="00E9506E"/>
    <w:rsid w:val="00E96A82"/>
    <w:rsid w:val="00E973AA"/>
    <w:rsid w:val="00E97C4C"/>
    <w:rsid w:val="00EA099E"/>
    <w:rsid w:val="00EA2920"/>
    <w:rsid w:val="00EA32B9"/>
    <w:rsid w:val="00EA347B"/>
    <w:rsid w:val="00EA380A"/>
    <w:rsid w:val="00EA3A50"/>
    <w:rsid w:val="00EA3AD5"/>
    <w:rsid w:val="00EA5098"/>
    <w:rsid w:val="00EA66FF"/>
    <w:rsid w:val="00EA6B4E"/>
    <w:rsid w:val="00EA7DF1"/>
    <w:rsid w:val="00EA7FC8"/>
    <w:rsid w:val="00EB0302"/>
    <w:rsid w:val="00EB200F"/>
    <w:rsid w:val="00EB22AD"/>
    <w:rsid w:val="00EB2BB9"/>
    <w:rsid w:val="00EB332E"/>
    <w:rsid w:val="00EB39F0"/>
    <w:rsid w:val="00EB3A81"/>
    <w:rsid w:val="00EB492D"/>
    <w:rsid w:val="00EB5E2B"/>
    <w:rsid w:val="00EB6787"/>
    <w:rsid w:val="00EB7256"/>
    <w:rsid w:val="00EB771E"/>
    <w:rsid w:val="00EC0FA8"/>
    <w:rsid w:val="00EC28F4"/>
    <w:rsid w:val="00EC3AF7"/>
    <w:rsid w:val="00EC3FAD"/>
    <w:rsid w:val="00EC47D9"/>
    <w:rsid w:val="00EC587E"/>
    <w:rsid w:val="00EC5EF9"/>
    <w:rsid w:val="00EC70D0"/>
    <w:rsid w:val="00EC7EFF"/>
    <w:rsid w:val="00ED05AD"/>
    <w:rsid w:val="00ED1BD6"/>
    <w:rsid w:val="00ED22CC"/>
    <w:rsid w:val="00ED253C"/>
    <w:rsid w:val="00ED57AF"/>
    <w:rsid w:val="00ED735B"/>
    <w:rsid w:val="00EE007B"/>
    <w:rsid w:val="00EE0E2B"/>
    <w:rsid w:val="00EE3CF5"/>
    <w:rsid w:val="00EE3EF4"/>
    <w:rsid w:val="00EE5E24"/>
    <w:rsid w:val="00EE6E95"/>
    <w:rsid w:val="00EE6EB3"/>
    <w:rsid w:val="00EE7CC0"/>
    <w:rsid w:val="00EF09BD"/>
    <w:rsid w:val="00EF12C6"/>
    <w:rsid w:val="00EF34C3"/>
    <w:rsid w:val="00EF4675"/>
    <w:rsid w:val="00EF49D0"/>
    <w:rsid w:val="00EF5987"/>
    <w:rsid w:val="00EF630A"/>
    <w:rsid w:val="00EF7221"/>
    <w:rsid w:val="00EF743B"/>
    <w:rsid w:val="00EF78A1"/>
    <w:rsid w:val="00EF7CB8"/>
    <w:rsid w:val="00EF7E8F"/>
    <w:rsid w:val="00EF7FDC"/>
    <w:rsid w:val="00F01422"/>
    <w:rsid w:val="00F03E5A"/>
    <w:rsid w:val="00F059D2"/>
    <w:rsid w:val="00F0639D"/>
    <w:rsid w:val="00F06671"/>
    <w:rsid w:val="00F07FE0"/>
    <w:rsid w:val="00F10017"/>
    <w:rsid w:val="00F113FD"/>
    <w:rsid w:val="00F11A24"/>
    <w:rsid w:val="00F11FD4"/>
    <w:rsid w:val="00F12BF3"/>
    <w:rsid w:val="00F13A75"/>
    <w:rsid w:val="00F14B04"/>
    <w:rsid w:val="00F15871"/>
    <w:rsid w:val="00F167E5"/>
    <w:rsid w:val="00F20A9E"/>
    <w:rsid w:val="00F20CB7"/>
    <w:rsid w:val="00F22128"/>
    <w:rsid w:val="00F24A5A"/>
    <w:rsid w:val="00F25287"/>
    <w:rsid w:val="00F25CCF"/>
    <w:rsid w:val="00F2638E"/>
    <w:rsid w:val="00F268D7"/>
    <w:rsid w:val="00F2696B"/>
    <w:rsid w:val="00F26C54"/>
    <w:rsid w:val="00F27980"/>
    <w:rsid w:val="00F279A0"/>
    <w:rsid w:val="00F30128"/>
    <w:rsid w:val="00F30C7F"/>
    <w:rsid w:val="00F31CE5"/>
    <w:rsid w:val="00F31E44"/>
    <w:rsid w:val="00F3226D"/>
    <w:rsid w:val="00F32312"/>
    <w:rsid w:val="00F327AE"/>
    <w:rsid w:val="00F33CAC"/>
    <w:rsid w:val="00F347CC"/>
    <w:rsid w:val="00F34F24"/>
    <w:rsid w:val="00F3520F"/>
    <w:rsid w:val="00F3637D"/>
    <w:rsid w:val="00F42D9F"/>
    <w:rsid w:val="00F43356"/>
    <w:rsid w:val="00F441B6"/>
    <w:rsid w:val="00F4464D"/>
    <w:rsid w:val="00F454A6"/>
    <w:rsid w:val="00F45A67"/>
    <w:rsid w:val="00F45C49"/>
    <w:rsid w:val="00F5057B"/>
    <w:rsid w:val="00F51E87"/>
    <w:rsid w:val="00F53974"/>
    <w:rsid w:val="00F5442E"/>
    <w:rsid w:val="00F545C5"/>
    <w:rsid w:val="00F60172"/>
    <w:rsid w:val="00F61B82"/>
    <w:rsid w:val="00F61ECB"/>
    <w:rsid w:val="00F62356"/>
    <w:rsid w:val="00F63692"/>
    <w:rsid w:val="00F66573"/>
    <w:rsid w:val="00F669E4"/>
    <w:rsid w:val="00F67D77"/>
    <w:rsid w:val="00F67FAD"/>
    <w:rsid w:val="00F711EB"/>
    <w:rsid w:val="00F715BE"/>
    <w:rsid w:val="00F7239E"/>
    <w:rsid w:val="00F7246C"/>
    <w:rsid w:val="00F752BF"/>
    <w:rsid w:val="00F75B45"/>
    <w:rsid w:val="00F77500"/>
    <w:rsid w:val="00F77DD3"/>
    <w:rsid w:val="00F808C9"/>
    <w:rsid w:val="00F81AB0"/>
    <w:rsid w:val="00F831B8"/>
    <w:rsid w:val="00F858FD"/>
    <w:rsid w:val="00F85CE6"/>
    <w:rsid w:val="00F863DC"/>
    <w:rsid w:val="00F87756"/>
    <w:rsid w:val="00F87CD2"/>
    <w:rsid w:val="00F90CB5"/>
    <w:rsid w:val="00F91A37"/>
    <w:rsid w:val="00F91AD4"/>
    <w:rsid w:val="00F91E10"/>
    <w:rsid w:val="00F921C1"/>
    <w:rsid w:val="00F92F7C"/>
    <w:rsid w:val="00F93578"/>
    <w:rsid w:val="00F94010"/>
    <w:rsid w:val="00F94312"/>
    <w:rsid w:val="00F94F0F"/>
    <w:rsid w:val="00F97991"/>
    <w:rsid w:val="00FA1472"/>
    <w:rsid w:val="00FA1D70"/>
    <w:rsid w:val="00FA2E33"/>
    <w:rsid w:val="00FA3C1F"/>
    <w:rsid w:val="00FA4086"/>
    <w:rsid w:val="00FA4C98"/>
    <w:rsid w:val="00FA7506"/>
    <w:rsid w:val="00FB07AF"/>
    <w:rsid w:val="00FB186B"/>
    <w:rsid w:val="00FB24C1"/>
    <w:rsid w:val="00FB3B29"/>
    <w:rsid w:val="00FB3BB1"/>
    <w:rsid w:val="00FB4A69"/>
    <w:rsid w:val="00FB5AD3"/>
    <w:rsid w:val="00FB60DD"/>
    <w:rsid w:val="00FB7070"/>
    <w:rsid w:val="00FB7450"/>
    <w:rsid w:val="00FC0A2A"/>
    <w:rsid w:val="00FC0BC2"/>
    <w:rsid w:val="00FC0BE5"/>
    <w:rsid w:val="00FC3BD4"/>
    <w:rsid w:val="00FC4AD4"/>
    <w:rsid w:val="00FC6029"/>
    <w:rsid w:val="00FC6F12"/>
    <w:rsid w:val="00FD0649"/>
    <w:rsid w:val="00FD0D5B"/>
    <w:rsid w:val="00FD119F"/>
    <w:rsid w:val="00FD26F6"/>
    <w:rsid w:val="00FD60A3"/>
    <w:rsid w:val="00FD6148"/>
    <w:rsid w:val="00FE0127"/>
    <w:rsid w:val="00FE11F4"/>
    <w:rsid w:val="00FE1300"/>
    <w:rsid w:val="00FE19CB"/>
    <w:rsid w:val="00FE26DF"/>
    <w:rsid w:val="00FE3F6B"/>
    <w:rsid w:val="00FE5095"/>
    <w:rsid w:val="00FE5290"/>
    <w:rsid w:val="00FE61D7"/>
    <w:rsid w:val="00FE7065"/>
    <w:rsid w:val="00FE77A1"/>
    <w:rsid w:val="00FF02C6"/>
    <w:rsid w:val="00FF0961"/>
    <w:rsid w:val="00FF0F88"/>
    <w:rsid w:val="00FF1A1B"/>
    <w:rsid w:val="00FF25AB"/>
    <w:rsid w:val="00FF3ED7"/>
    <w:rsid w:val="00FF407F"/>
    <w:rsid w:val="00FF41D3"/>
    <w:rsid w:val="00FF4C71"/>
    <w:rsid w:val="00FF4E10"/>
    <w:rsid w:val="00FF6050"/>
    <w:rsid w:val="00FF659E"/>
    <w:rsid w:val="00FF69BD"/>
    <w:rsid w:val="00FF6E4C"/>
    <w:rsid w:val="00FF70C9"/>
    <w:rsid w:val="012380E0"/>
    <w:rsid w:val="01C82782"/>
    <w:rsid w:val="01EB34A8"/>
    <w:rsid w:val="020360E6"/>
    <w:rsid w:val="021E7CF0"/>
    <w:rsid w:val="022517DE"/>
    <w:rsid w:val="024CEA61"/>
    <w:rsid w:val="02F514CA"/>
    <w:rsid w:val="03138A15"/>
    <w:rsid w:val="03281E4B"/>
    <w:rsid w:val="033D5355"/>
    <w:rsid w:val="035DAB08"/>
    <w:rsid w:val="03679526"/>
    <w:rsid w:val="03684E01"/>
    <w:rsid w:val="036D462F"/>
    <w:rsid w:val="03B20A4D"/>
    <w:rsid w:val="03D6B69D"/>
    <w:rsid w:val="03F7D2F1"/>
    <w:rsid w:val="042BB973"/>
    <w:rsid w:val="049882E5"/>
    <w:rsid w:val="04A106D4"/>
    <w:rsid w:val="04B07C52"/>
    <w:rsid w:val="04CD6DED"/>
    <w:rsid w:val="0512320B"/>
    <w:rsid w:val="052E115C"/>
    <w:rsid w:val="05AD6558"/>
    <w:rsid w:val="06372065"/>
    <w:rsid w:val="0639BE46"/>
    <w:rsid w:val="064B2AD7"/>
    <w:rsid w:val="0718D3A0"/>
    <w:rsid w:val="075DCA8F"/>
    <w:rsid w:val="077C8517"/>
    <w:rsid w:val="07E6FB38"/>
    <w:rsid w:val="07EF6C32"/>
    <w:rsid w:val="07F04657"/>
    <w:rsid w:val="081A4065"/>
    <w:rsid w:val="0889090F"/>
    <w:rsid w:val="08D02943"/>
    <w:rsid w:val="08FFF0FF"/>
    <w:rsid w:val="0918C27A"/>
    <w:rsid w:val="09246D63"/>
    <w:rsid w:val="0951604D"/>
    <w:rsid w:val="0982CB99"/>
    <w:rsid w:val="099E1C89"/>
    <w:rsid w:val="09D5F32A"/>
    <w:rsid w:val="09FFD2B4"/>
    <w:rsid w:val="0A0AE5FB"/>
    <w:rsid w:val="0A1B77D7"/>
    <w:rsid w:val="0A22DF68"/>
    <w:rsid w:val="0A500FBB"/>
    <w:rsid w:val="0A7055E9"/>
    <w:rsid w:val="0A7FCFC4"/>
    <w:rsid w:val="0A849521"/>
    <w:rsid w:val="0ABC720E"/>
    <w:rsid w:val="0AFE7718"/>
    <w:rsid w:val="0B0309A4"/>
    <w:rsid w:val="0B8339F7"/>
    <w:rsid w:val="0B980B3B"/>
    <w:rsid w:val="0BAE9E70"/>
    <w:rsid w:val="0BB537B4"/>
    <w:rsid w:val="0C19A7E7"/>
    <w:rsid w:val="0C2E792B"/>
    <w:rsid w:val="0C981C6A"/>
    <w:rsid w:val="0CBA6C5B"/>
    <w:rsid w:val="0D0D19FB"/>
    <w:rsid w:val="0D14F1C3"/>
    <w:rsid w:val="0D606B37"/>
    <w:rsid w:val="0D76A77C"/>
    <w:rsid w:val="0DB6D90E"/>
    <w:rsid w:val="0DBE93C3"/>
    <w:rsid w:val="0DD11F16"/>
    <w:rsid w:val="0DD85D35"/>
    <w:rsid w:val="0DE3DECE"/>
    <w:rsid w:val="0E2B6470"/>
    <w:rsid w:val="0E475F27"/>
    <w:rsid w:val="0E6DE476"/>
    <w:rsid w:val="0E817AE1"/>
    <w:rsid w:val="0F3884F3"/>
    <w:rsid w:val="0F40C00C"/>
    <w:rsid w:val="0F9A3AAC"/>
    <w:rsid w:val="0FAD3BEB"/>
    <w:rsid w:val="0FCA2D86"/>
    <w:rsid w:val="0FE61032"/>
    <w:rsid w:val="101EFD8B"/>
    <w:rsid w:val="10345CAA"/>
    <w:rsid w:val="10492DEE"/>
    <w:rsid w:val="1058ADF0"/>
    <w:rsid w:val="10BA63A9"/>
    <w:rsid w:val="10C24ED6"/>
    <w:rsid w:val="10CD97B9"/>
    <w:rsid w:val="10E29136"/>
    <w:rsid w:val="110D192B"/>
    <w:rsid w:val="11975187"/>
    <w:rsid w:val="11A58538"/>
    <w:rsid w:val="11B41051"/>
    <w:rsid w:val="11F90740"/>
    <w:rsid w:val="1256243C"/>
    <w:rsid w:val="12766979"/>
    <w:rsid w:val="128A7D02"/>
    <w:rsid w:val="12A47945"/>
    <w:rsid w:val="12EBCCD0"/>
    <w:rsid w:val="12EC32BB"/>
    <w:rsid w:val="133AB464"/>
    <w:rsid w:val="13415599"/>
    <w:rsid w:val="13727850"/>
    <w:rsid w:val="13793413"/>
    <w:rsid w:val="138FB73A"/>
    <w:rsid w:val="13C52E27"/>
    <w:rsid w:val="13EC74C5"/>
    <w:rsid w:val="14046E32"/>
    <w:rsid w:val="145C6660"/>
    <w:rsid w:val="150C9DC2"/>
    <w:rsid w:val="157C8F5D"/>
    <w:rsid w:val="1589F910"/>
    <w:rsid w:val="158E3A6E"/>
    <w:rsid w:val="15C588BA"/>
    <w:rsid w:val="163FFACF"/>
    <w:rsid w:val="165CB999"/>
    <w:rsid w:val="1678F65B"/>
    <w:rsid w:val="168DCAE4"/>
    <w:rsid w:val="1691FDB5"/>
    <w:rsid w:val="16B1EF40"/>
    <w:rsid w:val="16C9B5DC"/>
    <w:rsid w:val="16E3EC4D"/>
    <w:rsid w:val="17217393"/>
    <w:rsid w:val="1721AE0A"/>
    <w:rsid w:val="1733FBB1"/>
    <w:rsid w:val="17533E18"/>
    <w:rsid w:val="17583646"/>
    <w:rsid w:val="17781D39"/>
    <w:rsid w:val="177CE296"/>
    <w:rsid w:val="17806E6B"/>
    <w:rsid w:val="17AD6155"/>
    <w:rsid w:val="17E46B67"/>
    <w:rsid w:val="17F4F292"/>
    <w:rsid w:val="1801D846"/>
    <w:rsid w:val="18069DA3"/>
    <w:rsid w:val="1823CC11"/>
    <w:rsid w:val="1871DD77"/>
    <w:rsid w:val="187C0B6B"/>
    <w:rsid w:val="18980ECD"/>
    <w:rsid w:val="18A47465"/>
    <w:rsid w:val="18CB9214"/>
    <w:rsid w:val="19108903"/>
    <w:rsid w:val="19873839"/>
    <w:rsid w:val="19A4019B"/>
    <w:rsid w:val="19B0971D"/>
    <w:rsid w:val="19BBC837"/>
    <w:rsid w:val="19E07487"/>
    <w:rsid w:val="1A4D70CA"/>
    <w:rsid w:val="1A9AA104"/>
    <w:rsid w:val="1AA9FB84"/>
    <w:rsid w:val="1AAA2E55"/>
    <w:rsid w:val="1AB3B90F"/>
    <w:rsid w:val="1AF3EAA1"/>
    <w:rsid w:val="1AFEFE5A"/>
    <w:rsid w:val="1B06EBE0"/>
    <w:rsid w:val="1B409C45"/>
    <w:rsid w:val="1B469467"/>
    <w:rsid w:val="1B632301"/>
    <w:rsid w:val="1B7CC623"/>
    <w:rsid w:val="1BA8A05A"/>
    <w:rsid w:val="1BAD9888"/>
    <w:rsid w:val="1BB5120B"/>
    <w:rsid w:val="1C14139E"/>
    <w:rsid w:val="1C1F2757"/>
    <w:rsid w:val="1C3B3979"/>
    <w:rsid w:val="1C58D7BC"/>
    <w:rsid w:val="1C7C17B3"/>
    <w:rsid w:val="1C80DD10"/>
    <w:rsid w:val="1CC5D3FF"/>
    <w:rsid w:val="1D073F19"/>
    <w:rsid w:val="1D3F8325"/>
    <w:rsid w:val="1D6943F7"/>
    <w:rsid w:val="1D7CB4C7"/>
    <w:rsid w:val="1D844743"/>
    <w:rsid w:val="1D8D431D"/>
    <w:rsid w:val="1D977B53"/>
    <w:rsid w:val="1D9C40B0"/>
    <w:rsid w:val="1DAC7F68"/>
    <w:rsid w:val="1DE104CE"/>
    <w:rsid w:val="1DE4EAB2"/>
    <w:rsid w:val="1E4B01CB"/>
    <w:rsid w:val="1E6CAD25"/>
    <w:rsid w:val="1E726E94"/>
    <w:rsid w:val="1E8BF5C6"/>
    <w:rsid w:val="1EB72DE2"/>
    <w:rsid w:val="1ED36A1B"/>
    <w:rsid w:val="1EE27BDB"/>
    <w:rsid w:val="1EE28C7F"/>
    <w:rsid w:val="1EF12B09"/>
    <w:rsid w:val="1EFADDCF"/>
    <w:rsid w:val="1F0E137F"/>
    <w:rsid w:val="1F195A09"/>
    <w:rsid w:val="1F467579"/>
    <w:rsid w:val="1F4B1CE8"/>
    <w:rsid w:val="1F51942E"/>
    <w:rsid w:val="1FA7DA73"/>
    <w:rsid w:val="1FC16E61"/>
    <w:rsid w:val="1FD2870C"/>
    <w:rsid w:val="20114AE1"/>
    <w:rsid w:val="2027C627"/>
    <w:rsid w:val="202C9D52"/>
    <w:rsid w:val="20319580"/>
    <w:rsid w:val="205E9302"/>
    <w:rsid w:val="20FC5881"/>
    <w:rsid w:val="21080231"/>
    <w:rsid w:val="213A54CE"/>
    <w:rsid w:val="214CC64F"/>
    <w:rsid w:val="218CF7E1"/>
    <w:rsid w:val="21A4BE7D"/>
    <w:rsid w:val="21C39688"/>
    <w:rsid w:val="21D353B5"/>
    <w:rsid w:val="21DB329A"/>
    <w:rsid w:val="220D0C14"/>
    <w:rsid w:val="225A070A"/>
    <w:rsid w:val="225CE365"/>
    <w:rsid w:val="225D6F4A"/>
    <w:rsid w:val="22A6CD00"/>
    <w:rsid w:val="22C4E77A"/>
    <w:rsid w:val="22E69E72"/>
    <w:rsid w:val="230ED608"/>
    <w:rsid w:val="235E4D26"/>
    <w:rsid w:val="23689432"/>
    <w:rsid w:val="23C851AD"/>
    <w:rsid w:val="23CD49DB"/>
    <w:rsid w:val="23FA148C"/>
    <w:rsid w:val="241F4CC1"/>
    <w:rsid w:val="245704E8"/>
    <w:rsid w:val="24A08E63"/>
    <w:rsid w:val="24DDC005"/>
    <w:rsid w:val="24F88691"/>
    <w:rsid w:val="24FB374A"/>
    <w:rsid w:val="2544ACD6"/>
    <w:rsid w:val="255779C3"/>
    <w:rsid w:val="255A3C4A"/>
    <w:rsid w:val="256F405F"/>
    <w:rsid w:val="2574DAAC"/>
    <w:rsid w:val="259F0068"/>
    <w:rsid w:val="25D3EB70"/>
    <w:rsid w:val="25D8B0CD"/>
    <w:rsid w:val="2600B621"/>
    <w:rsid w:val="2609CCCF"/>
    <w:rsid w:val="2618AF8E"/>
    <w:rsid w:val="264385F7"/>
    <w:rsid w:val="267A6547"/>
    <w:rsid w:val="26AF1D7E"/>
    <w:rsid w:val="26BF5C36"/>
    <w:rsid w:val="26F7A042"/>
    <w:rsid w:val="26FF7F67"/>
    <w:rsid w:val="27115F1C"/>
    <w:rsid w:val="27175464"/>
    <w:rsid w:val="27184642"/>
    <w:rsid w:val="2728CCA4"/>
    <w:rsid w:val="272C25A8"/>
    <w:rsid w:val="273BA26C"/>
    <w:rsid w:val="2765D60D"/>
    <w:rsid w:val="27AA9A2B"/>
    <w:rsid w:val="27DDC6D4"/>
    <w:rsid w:val="284C4EA5"/>
    <w:rsid w:val="2875C052"/>
    <w:rsid w:val="28802763"/>
    <w:rsid w:val="28D4B505"/>
    <w:rsid w:val="28DB01E0"/>
    <w:rsid w:val="28E87526"/>
    <w:rsid w:val="28F56555"/>
    <w:rsid w:val="290CA33B"/>
    <w:rsid w:val="29677F74"/>
    <w:rsid w:val="2989693D"/>
    <w:rsid w:val="29DC3712"/>
    <w:rsid w:val="29E1A580"/>
    <w:rsid w:val="2A21602C"/>
    <w:rsid w:val="2A2E30C1"/>
    <w:rsid w:val="2A6224CF"/>
    <w:rsid w:val="2A6AE9A7"/>
    <w:rsid w:val="2ADFD370"/>
    <w:rsid w:val="2B36281F"/>
    <w:rsid w:val="2BEC0AA7"/>
    <w:rsid w:val="2BECCC13"/>
    <w:rsid w:val="2C2D98B6"/>
    <w:rsid w:val="2C673639"/>
    <w:rsid w:val="2CD56024"/>
    <w:rsid w:val="2CF03290"/>
    <w:rsid w:val="2D156856"/>
    <w:rsid w:val="2D7219D5"/>
    <w:rsid w:val="2DA9E077"/>
    <w:rsid w:val="2DC4FE34"/>
    <w:rsid w:val="2E1A3A80"/>
    <w:rsid w:val="2E1B6F46"/>
    <w:rsid w:val="2E1F4FAA"/>
    <w:rsid w:val="2E5D9916"/>
    <w:rsid w:val="2E69FB0F"/>
    <w:rsid w:val="2E71DE75"/>
    <w:rsid w:val="2E93B7E6"/>
    <w:rsid w:val="2EE6C83E"/>
    <w:rsid w:val="2F36D2E6"/>
    <w:rsid w:val="2F414379"/>
    <w:rsid w:val="2F78FCB6"/>
    <w:rsid w:val="2FC2F568"/>
    <w:rsid w:val="2FEA3271"/>
    <w:rsid w:val="2FF578FB"/>
    <w:rsid w:val="305BF411"/>
    <w:rsid w:val="3062B6E0"/>
    <w:rsid w:val="307F0137"/>
    <w:rsid w:val="30842C36"/>
    <w:rsid w:val="309BF2D2"/>
    <w:rsid w:val="30FD79EA"/>
    <w:rsid w:val="3115A1F8"/>
    <w:rsid w:val="318730C7"/>
    <w:rsid w:val="31889404"/>
    <w:rsid w:val="31AC9BCD"/>
    <w:rsid w:val="3245D6DC"/>
    <w:rsid w:val="328A9AFA"/>
    <w:rsid w:val="32C7FF6D"/>
    <w:rsid w:val="32F43E39"/>
    <w:rsid w:val="331C438D"/>
    <w:rsid w:val="33278A17"/>
    <w:rsid w:val="33613A7C"/>
    <w:rsid w:val="3362C204"/>
    <w:rsid w:val="33763E91"/>
    <w:rsid w:val="33C87293"/>
    <w:rsid w:val="33E769B4"/>
    <w:rsid w:val="3407B453"/>
    <w:rsid w:val="340C79B0"/>
    <w:rsid w:val="34131178"/>
    <w:rsid w:val="34BAAE3C"/>
    <w:rsid w:val="34C46554"/>
    <w:rsid w:val="34CAECF4"/>
    <w:rsid w:val="351DE3B4"/>
    <w:rsid w:val="354FE2A4"/>
    <w:rsid w:val="3567DC11"/>
    <w:rsid w:val="357FD57E"/>
    <w:rsid w:val="35830FFD"/>
    <w:rsid w:val="35C1CC7D"/>
    <w:rsid w:val="35C2B108"/>
    <w:rsid w:val="35DC9309"/>
    <w:rsid w:val="35E18B37"/>
    <w:rsid w:val="35FE4A01"/>
    <w:rsid w:val="361F13F1"/>
    <w:rsid w:val="362CA193"/>
    <w:rsid w:val="365EAE53"/>
    <w:rsid w:val="36E1CD41"/>
    <w:rsid w:val="36F4CE80"/>
    <w:rsid w:val="38282B8D"/>
    <w:rsid w:val="383ABFDB"/>
    <w:rsid w:val="3859EE6C"/>
    <w:rsid w:val="3866A14F"/>
    <w:rsid w:val="3891F8CE"/>
    <w:rsid w:val="38CEA564"/>
    <w:rsid w:val="38F1C9A3"/>
    <w:rsid w:val="3925A078"/>
    <w:rsid w:val="397EDCC6"/>
    <w:rsid w:val="39C9DD20"/>
    <w:rsid w:val="39EAC870"/>
    <w:rsid w:val="3A1A010C"/>
    <w:rsid w:val="3A33C550"/>
    <w:rsid w:val="3A43D137"/>
    <w:rsid w:val="3AAA4C4D"/>
    <w:rsid w:val="3AD30113"/>
    <w:rsid w:val="3AFC6D81"/>
    <w:rsid w:val="3B0709D8"/>
    <w:rsid w:val="3B2221C5"/>
    <w:rsid w:val="3B446E4B"/>
    <w:rsid w:val="3B68BF91"/>
    <w:rsid w:val="3BA923F4"/>
    <w:rsid w:val="3BC0EA90"/>
    <w:rsid w:val="3BDDA95A"/>
    <w:rsid w:val="3BDF5E61"/>
    <w:rsid w:val="3BF2AD6F"/>
    <w:rsid w:val="3C226D78"/>
    <w:rsid w:val="3C6C29C4"/>
    <w:rsid w:val="3CF01113"/>
    <w:rsid w:val="3D097CDA"/>
    <w:rsid w:val="3D0DDE3E"/>
    <w:rsid w:val="3D328A8E"/>
    <w:rsid w:val="3D57F4A7"/>
    <w:rsid w:val="3D7C1409"/>
    <w:rsid w:val="3D9F86D1"/>
    <w:rsid w:val="3E155188"/>
    <w:rsid w:val="3E691AAA"/>
    <w:rsid w:val="3EA2F104"/>
    <w:rsid w:val="3EC52A6A"/>
    <w:rsid w:val="3EE7B522"/>
    <w:rsid w:val="3F32B532"/>
    <w:rsid w:val="3F54B165"/>
    <w:rsid w:val="3F5D06E4"/>
    <w:rsid w:val="3F79AF93"/>
    <w:rsid w:val="3F7EC72A"/>
    <w:rsid w:val="3F92F456"/>
    <w:rsid w:val="3FA3330E"/>
    <w:rsid w:val="3FFFF099"/>
    <w:rsid w:val="4008E987"/>
    <w:rsid w:val="4017EA06"/>
    <w:rsid w:val="40595520"/>
    <w:rsid w:val="406D4000"/>
    <w:rsid w:val="40C757DC"/>
    <w:rsid w:val="40D65D4A"/>
    <w:rsid w:val="40E9915A"/>
    <w:rsid w:val="40F34EE5"/>
    <w:rsid w:val="40FAB243"/>
    <w:rsid w:val="4154D1CD"/>
    <w:rsid w:val="417CD721"/>
    <w:rsid w:val="419AC99F"/>
    <w:rsid w:val="41ACFCCC"/>
    <w:rsid w:val="41DE8CDA"/>
    <w:rsid w:val="424E7E75"/>
    <w:rsid w:val="4252972A"/>
    <w:rsid w:val="425376A3"/>
    <w:rsid w:val="42602986"/>
    <w:rsid w:val="427FD9F5"/>
    <w:rsid w:val="42B07EC7"/>
    <w:rsid w:val="43053704"/>
    <w:rsid w:val="439BA4F4"/>
    <w:rsid w:val="43F89550"/>
    <w:rsid w:val="44226011"/>
    <w:rsid w:val="443D269D"/>
    <w:rsid w:val="4492D2EA"/>
    <w:rsid w:val="449EDC56"/>
    <w:rsid w:val="44DC40C9"/>
    <w:rsid w:val="44DF0DE8"/>
    <w:rsid w:val="4509FB13"/>
    <w:rsid w:val="451D50D9"/>
    <w:rsid w:val="45588A3D"/>
    <w:rsid w:val="456247C8"/>
    <w:rsid w:val="458904F1"/>
    <w:rsid w:val="458A7FED"/>
    <w:rsid w:val="459C1D71"/>
    <w:rsid w:val="45AF8551"/>
    <w:rsid w:val="45BA3FF6"/>
    <w:rsid w:val="45FF0414"/>
    <w:rsid w:val="46021974"/>
    <w:rsid w:val="4603FC42"/>
    <w:rsid w:val="4660EC9E"/>
    <w:rsid w:val="4670C5B4"/>
    <w:rsid w:val="4688BF21"/>
    <w:rsid w:val="4695A4D5"/>
    <w:rsid w:val="469A6A32"/>
    <w:rsid w:val="46BA6E96"/>
    <w:rsid w:val="471A67B4"/>
    <w:rsid w:val="471F5FE2"/>
    <w:rsid w:val="4724253F"/>
    <w:rsid w:val="474C2A93"/>
    <w:rsid w:val="47C1145C"/>
    <w:rsid w:val="47D12043"/>
    <w:rsid w:val="47FA91F0"/>
    <w:rsid w:val="48155B33"/>
    <w:rsid w:val="481750BA"/>
    <w:rsid w:val="481DD1E7"/>
    <w:rsid w:val="48678E33"/>
    <w:rsid w:val="487F87A0"/>
    <w:rsid w:val="488B543B"/>
    <w:rsid w:val="488F60B6"/>
    <w:rsid w:val="49090FDC"/>
    <w:rsid w:val="49260177"/>
    <w:rsid w:val="494E06CB"/>
    <w:rsid w:val="495615E1"/>
    <w:rsid w:val="4974F6B1"/>
    <w:rsid w:val="4987B730"/>
    <w:rsid w:val="4990309B"/>
    <w:rsid w:val="49AAF727"/>
    <w:rsid w:val="49AEFE2D"/>
    <w:rsid w:val="49C52C9A"/>
    <w:rsid w:val="49E423DD"/>
    <w:rsid w:val="4A03154A"/>
    <w:rsid w:val="4A217E24"/>
    <w:rsid w:val="4A2E3107"/>
    <w:rsid w:val="4A56365B"/>
    <w:rsid w:val="4A69379A"/>
    <w:rsid w:val="4AFCB032"/>
    <w:rsid w:val="4B26EDA9"/>
    <w:rsid w:val="4B7E4CDE"/>
    <w:rsid w:val="4BC7D659"/>
    <w:rsid w:val="4BFB2237"/>
    <w:rsid w:val="4CB73AFC"/>
    <w:rsid w:val="4CB9957B"/>
    <w:rsid w:val="4CF38FC7"/>
    <w:rsid w:val="4D01E9B0"/>
    <w:rsid w:val="4D037A00"/>
    <w:rsid w:val="4D5B49F5"/>
    <w:rsid w:val="4D7A1593"/>
    <w:rsid w:val="4DB5654C"/>
    <w:rsid w:val="4DBA6FF8"/>
    <w:rsid w:val="4DCEAABF"/>
    <w:rsid w:val="4E01430E"/>
    <w:rsid w:val="4E2A8B9A"/>
    <w:rsid w:val="4E46C40C"/>
    <w:rsid w:val="4E76AD95"/>
    <w:rsid w:val="4F0946B4"/>
    <w:rsid w:val="4F46CBEA"/>
    <w:rsid w:val="4FF0D196"/>
    <w:rsid w:val="5023F02B"/>
    <w:rsid w:val="5080D20A"/>
    <w:rsid w:val="50863F5C"/>
    <w:rsid w:val="50C70B76"/>
    <w:rsid w:val="50E3FD11"/>
    <w:rsid w:val="50FBF67E"/>
    <w:rsid w:val="5128C12F"/>
    <w:rsid w:val="5165D00C"/>
    <w:rsid w:val="5166508D"/>
    <w:rsid w:val="51A735B2"/>
    <w:rsid w:val="51B369B9"/>
    <w:rsid w:val="51B7746A"/>
    <w:rsid w:val="524424CF"/>
    <w:rsid w:val="5293D765"/>
    <w:rsid w:val="52BDD3F5"/>
    <w:rsid w:val="52FA9B2B"/>
    <w:rsid w:val="533C4878"/>
    <w:rsid w:val="538A66FB"/>
    <w:rsid w:val="53B91DD1"/>
    <w:rsid w:val="5462BFD1"/>
    <w:rsid w:val="546C7D5C"/>
    <w:rsid w:val="547CBC14"/>
    <w:rsid w:val="54AABC8B"/>
    <w:rsid w:val="54C1759A"/>
    <w:rsid w:val="54D946CE"/>
    <w:rsid w:val="555FA8D7"/>
    <w:rsid w:val="55A1E262"/>
    <w:rsid w:val="55BD6281"/>
    <w:rsid w:val="55D7EBA4"/>
    <w:rsid w:val="55EEFC7F"/>
    <w:rsid w:val="56570CFE"/>
    <w:rsid w:val="565F0C63"/>
    <w:rsid w:val="56895098"/>
    <w:rsid w:val="56AAFBF2"/>
    <w:rsid w:val="56C4B47A"/>
    <w:rsid w:val="56ECCE17"/>
    <w:rsid w:val="56F814A1"/>
    <w:rsid w:val="5729D780"/>
    <w:rsid w:val="57B052B9"/>
    <w:rsid w:val="57E2203A"/>
    <w:rsid w:val="581D02FB"/>
    <w:rsid w:val="5869E770"/>
    <w:rsid w:val="58A1F8AB"/>
    <w:rsid w:val="58C9FDFF"/>
    <w:rsid w:val="58E9B605"/>
    <w:rsid w:val="58ECC5AD"/>
    <w:rsid w:val="58EF50DB"/>
    <w:rsid w:val="5933A13E"/>
    <w:rsid w:val="593F8635"/>
    <w:rsid w:val="5948A553"/>
    <w:rsid w:val="595CE01A"/>
    <w:rsid w:val="598D6971"/>
    <w:rsid w:val="59A562DE"/>
    <w:rsid w:val="59CA9B13"/>
    <w:rsid w:val="5A63D622"/>
    <w:rsid w:val="5A9855D7"/>
    <w:rsid w:val="5AA89A40"/>
    <w:rsid w:val="5B0A5A30"/>
    <w:rsid w:val="5B2D7D32"/>
    <w:rsid w:val="5B51DA4A"/>
    <w:rsid w:val="5B863321"/>
    <w:rsid w:val="5B89B087"/>
    <w:rsid w:val="5BAC0473"/>
    <w:rsid w:val="5BBC105A"/>
    <w:rsid w:val="5BD409C7"/>
    <w:rsid w:val="5C13AB3B"/>
    <w:rsid w:val="5C20BB6B"/>
    <w:rsid w:val="5C25B399"/>
    <w:rsid w:val="5C29C0E1"/>
    <w:rsid w:val="5C527E4A"/>
    <w:rsid w:val="5C77B67F"/>
    <w:rsid w:val="5C827124"/>
    <w:rsid w:val="5CB9D68F"/>
    <w:rsid w:val="5CD0F2CD"/>
    <w:rsid w:val="5CDC3957"/>
    <w:rsid w:val="5CEFE6FC"/>
    <w:rsid w:val="5CFB9BF4"/>
    <w:rsid w:val="5D314941"/>
    <w:rsid w:val="5D85DB57"/>
    <w:rsid w:val="5DD733DC"/>
    <w:rsid w:val="5DE3E799"/>
    <w:rsid w:val="5DF76A26"/>
    <w:rsid w:val="5E1C4947"/>
    <w:rsid w:val="5E991EA0"/>
    <w:rsid w:val="5EA60454"/>
    <w:rsid w:val="5EBA107B"/>
    <w:rsid w:val="5F2FBF61"/>
    <w:rsid w:val="5F44F237"/>
    <w:rsid w:val="5F5C8A12"/>
    <w:rsid w:val="5F7AF72C"/>
    <w:rsid w:val="5FC7C7F3"/>
    <w:rsid w:val="5FD99837"/>
    <w:rsid w:val="5FF2F802"/>
    <w:rsid w:val="5FFA805D"/>
    <w:rsid w:val="600AF16F"/>
    <w:rsid w:val="603CC9BE"/>
    <w:rsid w:val="605FF445"/>
    <w:rsid w:val="6068EA03"/>
    <w:rsid w:val="606D330D"/>
    <w:rsid w:val="6072F584"/>
    <w:rsid w:val="6084A095"/>
    <w:rsid w:val="60B229FC"/>
    <w:rsid w:val="60CF4A5A"/>
    <w:rsid w:val="60F19CD8"/>
    <w:rsid w:val="61066E1C"/>
    <w:rsid w:val="611E6789"/>
    <w:rsid w:val="61439FBE"/>
    <w:rsid w:val="61466CDD"/>
    <w:rsid w:val="615E664A"/>
    <w:rsid w:val="61866A03"/>
    <w:rsid w:val="61A32A68"/>
    <w:rsid w:val="61A82296"/>
    <w:rsid w:val="61C51431"/>
    <w:rsid w:val="62358A7B"/>
    <w:rsid w:val="625C5236"/>
    <w:rsid w:val="625DBF29"/>
    <w:rsid w:val="627BCEC5"/>
    <w:rsid w:val="627EC218"/>
    <w:rsid w:val="62DF6587"/>
    <w:rsid w:val="63300D7B"/>
    <w:rsid w:val="63872C86"/>
    <w:rsid w:val="6396C7B8"/>
    <w:rsid w:val="63E3AF33"/>
    <w:rsid w:val="63F7A0FE"/>
    <w:rsid w:val="63FBA8A0"/>
    <w:rsid w:val="6400A9EC"/>
    <w:rsid w:val="641079E4"/>
    <w:rsid w:val="64287351"/>
    <w:rsid w:val="643BA761"/>
    <w:rsid w:val="6471A8B8"/>
    <w:rsid w:val="648263BD"/>
    <w:rsid w:val="64BEE141"/>
    <w:rsid w:val="64DAAC52"/>
    <w:rsid w:val="64DBA00B"/>
    <w:rsid w:val="64DE6EAB"/>
    <w:rsid w:val="64DF5419"/>
    <w:rsid w:val="64F33E2C"/>
    <w:rsid w:val="657AF126"/>
    <w:rsid w:val="65A0947C"/>
    <w:rsid w:val="65B298A1"/>
    <w:rsid w:val="660F88FD"/>
    <w:rsid w:val="664C0681"/>
    <w:rsid w:val="66B8CFF3"/>
    <w:rsid w:val="66B90EB5"/>
    <w:rsid w:val="67B0F39C"/>
    <w:rsid w:val="67F0F25D"/>
    <w:rsid w:val="68137D02"/>
    <w:rsid w:val="68165D63"/>
    <w:rsid w:val="684DE2B9"/>
    <w:rsid w:val="6892A6D7"/>
    <w:rsid w:val="68E327B7"/>
    <w:rsid w:val="69495F66"/>
    <w:rsid w:val="694C54BE"/>
    <w:rsid w:val="6996110A"/>
    <w:rsid w:val="699643DB"/>
    <w:rsid w:val="69BB742A"/>
    <w:rsid w:val="69DAD528"/>
    <w:rsid w:val="69F8F473"/>
    <w:rsid w:val="6A1BB83C"/>
    <w:rsid w:val="6A3271FA"/>
    <w:rsid w:val="6A3941AA"/>
    <w:rsid w:val="6A763B46"/>
    <w:rsid w:val="6A91B144"/>
    <w:rsid w:val="6A9E409A"/>
    <w:rsid w:val="6B27FBA7"/>
    <w:rsid w:val="6B6FE7EE"/>
    <w:rsid w:val="6BBE36DC"/>
    <w:rsid w:val="6C266DAC"/>
    <w:rsid w:val="6C5B25E3"/>
    <w:rsid w:val="6C6ECD47"/>
    <w:rsid w:val="6C7CDCDB"/>
    <w:rsid w:val="6CCCE783"/>
    <w:rsid w:val="6CD9CD37"/>
    <w:rsid w:val="6CE246A2"/>
    <w:rsid w:val="6CECCE76"/>
    <w:rsid w:val="6D4B8ED7"/>
    <w:rsid w:val="6D7B81B1"/>
    <w:rsid w:val="6D9052F5"/>
    <w:rsid w:val="6E0A021B"/>
    <w:rsid w:val="6E4EC639"/>
    <w:rsid w:val="6EABB695"/>
    <w:rsid w:val="6ED062E5"/>
    <w:rsid w:val="6EDBA96F"/>
    <w:rsid w:val="6EEBB556"/>
    <w:rsid w:val="6EF0E055"/>
    <w:rsid w:val="6F02D2AC"/>
    <w:rsid w:val="6F2137D6"/>
    <w:rsid w:val="6F3866FA"/>
    <w:rsid w:val="6F8771FB"/>
    <w:rsid w:val="70664A22"/>
    <w:rsid w:val="707DD26B"/>
    <w:rsid w:val="7097AFD0"/>
    <w:rsid w:val="70E19EB8"/>
    <w:rsid w:val="70E81899"/>
    <w:rsid w:val="710A5058"/>
    <w:rsid w:val="71166039"/>
    <w:rsid w:val="712C3A21"/>
    <w:rsid w:val="718DBD09"/>
    <w:rsid w:val="72476AF0"/>
    <w:rsid w:val="725C3C34"/>
    <w:rsid w:val="7283E8FA"/>
    <w:rsid w:val="72EDE4C7"/>
    <w:rsid w:val="738F9941"/>
    <w:rsid w:val="73927A02"/>
    <w:rsid w:val="73E21F64"/>
    <w:rsid w:val="74012810"/>
    <w:rsid w:val="7406203E"/>
    <w:rsid w:val="744F8A16"/>
    <w:rsid w:val="74B4879B"/>
    <w:rsid w:val="74BAD5F7"/>
    <w:rsid w:val="75563C15"/>
    <w:rsid w:val="756647FC"/>
    <w:rsid w:val="75797C0C"/>
    <w:rsid w:val="75A40310"/>
    <w:rsid w:val="75BB89BC"/>
    <w:rsid w:val="75C7FDB5"/>
    <w:rsid w:val="763436D1"/>
    <w:rsid w:val="766AC5A2"/>
    <w:rsid w:val="76719FB5"/>
    <w:rsid w:val="76997BE4"/>
    <w:rsid w:val="76BB6D6B"/>
    <w:rsid w:val="76C47C88"/>
    <w:rsid w:val="76D77C60"/>
    <w:rsid w:val="76FB5AC2"/>
    <w:rsid w:val="77401EE0"/>
    <w:rsid w:val="7758184D"/>
    <w:rsid w:val="77B4D5D8"/>
    <w:rsid w:val="77DB522D"/>
    <w:rsid w:val="780E9E0B"/>
    <w:rsid w:val="7842A141"/>
    <w:rsid w:val="7850C7DB"/>
    <w:rsid w:val="788A4026"/>
    <w:rsid w:val="78A53ECC"/>
    <w:rsid w:val="78A9D9E5"/>
    <w:rsid w:val="78BD3839"/>
    <w:rsid w:val="78F6B5CD"/>
    <w:rsid w:val="790C0150"/>
    <w:rsid w:val="7943FDEE"/>
    <w:rsid w:val="7946F346"/>
    <w:rsid w:val="79D07B82"/>
    <w:rsid w:val="79F94006"/>
    <w:rsid w:val="7A2A9EBF"/>
    <w:rsid w:val="7A32313B"/>
    <w:rsid w:val="7A3A0F07"/>
    <w:rsid w:val="7A45654B"/>
    <w:rsid w:val="7A4A2AA8"/>
    <w:rsid w:val="7A61C940"/>
    <w:rsid w:val="7AB0A5BE"/>
    <w:rsid w:val="7B008AA9"/>
    <w:rsid w:val="7B18A9D3"/>
    <w:rsid w:val="7B6BC17F"/>
    <w:rsid w:val="7B870F35"/>
    <w:rsid w:val="7BE51792"/>
    <w:rsid w:val="7BF8D40F"/>
    <w:rsid w:val="7C24018C"/>
    <w:rsid w:val="7C6DBDD8"/>
    <w:rsid w:val="7C9C5B0A"/>
    <w:rsid w:val="7CB3B8DE"/>
    <w:rsid w:val="7D3744D5"/>
    <w:rsid w:val="7D3C3D03"/>
    <w:rsid w:val="7DB5EC29"/>
    <w:rsid w:val="7DFE8C89"/>
    <w:rsid w:val="7E28F567"/>
    <w:rsid w:val="7E54D384"/>
    <w:rsid w:val="7E57A0A3"/>
    <w:rsid w:val="7EF687FE"/>
    <w:rsid w:val="7F0E2661"/>
    <w:rsid w:val="7F44C596"/>
    <w:rsid w:val="7F5AD805"/>
    <w:rsid w:val="7F5FD033"/>
    <w:rsid w:val="7F72D172"/>
    <w:rsid w:val="7FC9CC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74BF"/>
  <w15:chartTrackingRefBased/>
  <w15:docId w15:val="{07E539B2-67C2-4DA2-8B27-FBF6444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E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57B9"/>
    <w:rPr>
      <w:sz w:val="16"/>
      <w:szCs w:val="16"/>
    </w:rPr>
  </w:style>
  <w:style w:type="paragraph" w:styleId="CommentText">
    <w:name w:val="annotation text"/>
    <w:basedOn w:val="Normal"/>
    <w:link w:val="CommentTextChar"/>
    <w:uiPriority w:val="99"/>
    <w:semiHidden/>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semiHidden/>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styleId="ListParagraph">
    <w:name w:val="List Paragraph"/>
    <w:basedOn w:val="Normal"/>
    <w:uiPriority w:val="34"/>
    <w:qFormat/>
    <w:rsid w:val="00EF4675"/>
    <w:pPr>
      <w:spacing w:after="160"/>
      <w:ind w:left="720"/>
      <w:contextualSpacing/>
    </w:pPr>
    <w:rPr>
      <w:rFonts w:asciiTheme="minorHAnsi" w:hAnsiTheme="minorHAnsi"/>
      <w:sz w:val="22"/>
    </w:rPr>
  </w:style>
  <w:style w:type="paragraph" w:styleId="FootnoteText">
    <w:name w:val="footnote text"/>
    <w:basedOn w:val="Normal"/>
    <w:link w:val="FootnoteTextChar"/>
    <w:unhideWhenUsed/>
    <w:rsid w:val="00B8462E"/>
    <w:pPr>
      <w:spacing w:line="240" w:lineRule="auto"/>
    </w:pPr>
    <w:rPr>
      <w:sz w:val="20"/>
      <w:szCs w:val="20"/>
    </w:rPr>
  </w:style>
  <w:style w:type="character" w:customStyle="1" w:styleId="FootnoteTextChar">
    <w:name w:val="Footnote Text Char"/>
    <w:basedOn w:val="DefaultParagraphFont"/>
    <w:link w:val="FootnoteText"/>
    <w:rsid w:val="00B8462E"/>
    <w:rPr>
      <w:sz w:val="20"/>
      <w:szCs w:val="20"/>
    </w:rPr>
  </w:style>
  <w:style w:type="character" w:styleId="FootnoteReference">
    <w:name w:val="footnote reference"/>
    <w:basedOn w:val="DefaultParagraphFont"/>
    <w:unhideWhenUsed/>
    <w:rsid w:val="00B8462E"/>
    <w:rPr>
      <w:vertAlign w:val="superscript"/>
    </w:rPr>
  </w:style>
  <w:style w:type="paragraph" w:styleId="NormalWeb">
    <w:name w:val="Normal (Web)"/>
    <w:basedOn w:val="Normal"/>
    <w:uiPriority w:val="99"/>
    <w:semiHidden/>
    <w:unhideWhenUsed/>
    <w:rsid w:val="00476CF5"/>
    <w:rPr>
      <w:rFonts w:cs="Times New Roman"/>
      <w:szCs w:val="24"/>
    </w:rPr>
  </w:style>
  <w:style w:type="character" w:styleId="Hyperlink">
    <w:name w:val="Hyperlink"/>
    <w:basedOn w:val="DefaultParagraphFont"/>
    <w:uiPriority w:val="99"/>
    <w:unhideWhenUsed/>
    <w:rsid w:val="00476CF5"/>
    <w:rPr>
      <w:color w:val="0563C1" w:themeColor="hyperlink"/>
      <w:u w:val="single"/>
    </w:rPr>
  </w:style>
  <w:style w:type="character" w:styleId="UnresolvedMention">
    <w:name w:val="Unresolved Mention"/>
    <w:basedOn w:val="DefaultParagraphFont"/>
    <w:uiPriority w:val="99"/>
    <w:unhideWhenUsed/>
    <w:rsid w:val="00476CF5"/>
    <w:rPr>
      <w:color w:val="605E5C"/>
      <w:shd w:val="clear" w:color="auto" w:fill="E1DFDD"/>
    </w:rPr>
  </w:style>
  <w:style w:type="character" w:styleId="Mention">
    <w:name w:val="Mention"/>
    <w:basedOn w:val="DefaultParagraphFont"/>
    <w:uiPriority w:val="99"/>
    <w:unhideWhenUsed/>
    <w:rsid w:val="00623F48"/>
    <w:rPr>
      <w:color w:val="2B579A"/>
      <w:shd w:val="clear" w:color="auto" w:fill="E1DFDD"/>
    </w:rPr>
  </w:style>
  <w:style w:type="paragraph" w:styleId="BalloonText">
    <w:name w:val="Balloon Text"/>
    <w:basedOn w:val="Normal"/>
    <w:link w:val="BalloonTextChar"/>
    <w:uiPriority w:val="99"/>
    <w:semiHidden/>
    <w:unhideWhenUsed/>
    <w:rsid w:val="00B035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5BC"/>
    <w:rPr>
      <w:rFonts w:ascii="Segoe UI" w:hAnsi="Segoe UI" w:cs="Segoe UI"/>
      <w:sz w:val="18"/>
      <w:szCs w:val="18"/>
    </w:rPr>
  </w:style>
  <w:style w:type="paragraph" w:customStyle="1" w:styleId="MainHeading">
    <w:name w:val="Main Heading"/>
    <w:basedOn w:val="Heading1"/>
    <w:link w:val="MainHeadingChar"/>
    <w:qFormat/>
    <w:rsid w:val="0050554D"/>
    <w:rPr>
      <w:b/>
      <w:u w:val="single"/>
    </w:rPr>
  </w:style>
  <w:style w:type="character" w:customStyle="1" w:styleId="MainHeadingChar">
    <w:name w:val="Main Heading Char"/>
    <w:basedOn w:val="Heading1Char"/>
    <w:link w:val="MainHeading"/>
    <w:rsid w:val="0050554D"/>
    <w:rPr>
      <w:rFonts w:asciiTheme="majorHAnsi" w:eastAsiaTheme="majorEastAsia" w:hAnsiTheme="majorHAnsi" w:cstheme="majorBidi"/>
      <w:b/>
      <w:color w:val="2F5496" w:themeColor="accent1" w:themeShade="BF"/>
      <w:sz w:val="32"/>
      <w:szCs w:val="32"/>
      <w:u w:val="single"/>
    </w:rPr>
  </w:style>
  <w:style w:type="character" w:customStyle="1" w:styleId="Heading1Char">
    <w:name w:val="Heading 1 Char"/>
    <w:basedOn w:val="DefaultParagraphFont"/>
    <w:link w:val="Heading1"/>
    <w:uiPriority w:val="9"/>
    <w:rsid w:val="00505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E2B"/>
    <w:rPr>
      <w:rFonts w:asciiTheme="majorHAnsi" w:eastAsiaTheme="majorEastAsia" w:hAnsiTheme="majorHAnsi" w:cstheme="majorBidi"/>
      <w:color w:val="2F5496" w:themeColor="accent1" w:themeShade="BF"/>
      <w:sz w:val="26"/>
      <w:szCs w:val="26"/>
    </w:rPr>
  </w:style>
  <w:style w:type="paragraph" w:customStyle="1" w:styleId="Standard">
    <w:name w:val="Standard"/>
    <w:rsid w:val="00EB5E2B"/>
    <w:pPr>
      <w:widowControl w:val="0"/>
      <w:suppressAutoHyphens/>
      <w:autoSpaceDN w:val="0"/>
      <w:spacing w:line="240" w:lineRule="auto"/>
    </w:pPr>
    <w:rPr>
      <w:rFonts w:ascii="Calibri" w:eastAsia="Calibri" w:hAnsi="Calibri" w:cs="Times New Roman"/>
      <w:sz w:val="22"/>
    </w:rPr>
  </w:style>
  <w:style w:type="paragraph" w:customStyle="1" w:styleId="InsertFootnote">
    <w:name w:val="InsertFootnote"/>
    <w:basedOn w:val="Normal"/>
    <w:link w:val="InsertFootnoteChar"/>
    <w:qFormat/>
    <w:rsid w:val="00A63CE7"/>
    <w:pPr>
      <w:spacing w:after="60" w:line="240" w:lineRule="auto"/>
    </w:pPr>
    <w:rPr>
      <w:rFonts w:ascii="Cambria" w:hAnsi="Cambria" w:cs="Times New Roman"/>
      <w:bCs/>
      <w:color w:val="000000" w:themeColor="text1"/>
      <w:sz w:val="18"/>
      <w:szCs w:val="20"/>
    </w:rPr>
  </w:style>
  <w:style w:type="character" w:customStyle="1" w:styleId="InsertFootnoteChar">
    <w:name w:val="InsertFootnote Char"/>
    <w:basedOn w:val="DefaultParagraphFont"/>
    <w:link w:val="InsertFootnote"/>
    <w:rsid w:val="00A63CE7"/>
    <w:rPr>
      <w:rFonts w:ascii="Cambria" w:hAnsi="Cambria" w:cs="Times New Roman"/>
      <w:bCs/>
      <w:color w:val="000000" w:themeColor="text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9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43334F78F18E4982769461F37FB131" ma:contentTypeVersion="9" ma:contentTypeDescription="Create a new document." ma:contentTypeScope="" ma:versionID="58ad1fef1193883b2ee286449dfec516">
  <xsd:schema xmlns:xsd="http://www.w3.org/2001/XMLSchema" xmlns:xs="http://www.w3.org/2001/XMLSchema" xmlns:p="http://schemas.microsoft.com/office/2006/metadata/properties" xmlns:ns3="fdd6a011-9a53-4c0d-be14-7163cc5c4430" xmlns:ns4="761c0842-a0ac-4fc7-8f49-911b4c0bd68a" targetNamespace="http://schemas.microsoft.com/office/2006/metadata/properties" ma:root="true" ma:fieldsID="55382b961137fdf53680e6feb79365d5" ns3:_="" ns4:_="">
    <xsd:import namespace="fdd6a011-9a53-4c0d-be14-7163cc5c4430"/>
    <xsd:import namespace="761c0842-a0ac-4fc7-8f49-911b4c0bd6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6a011-9a53-4c0d-be14-7163cc5c44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c0842-a0ac-4fc7-8f49-911b4c0bd6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476F-BF04-463E-AB13-520F2C8DC715}">
  <ds:schemaRefs>
    <ds:schemaRef ds:uri="http://schemas.microsoft.com/sharepoint/v3/contenttype/forms"/>
  </ds:schemaRefs>
</ds:datastoreItem>
</file>

<file path=customXml/itemProps2.xml><?xml version="1.0" encoding="utf-8"?>
<ds:datastoreItem xmlns:ds="http://schemas.openxmlformats.org/officeDocument/2006/customXml" ds:itemID="{9FB62710-9350-4CD5-B98C-6F061EA48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6a011-9a53-4c0d-be14-7163cc5c4430"/>
    <ds:schemaRef ds:uri="761c0842-a0ac-4fc7-8f49-911b4c0bd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6DD16-330C-4523-BC4D-4D31A17F0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0DF79D-8FD0-4194-B16B-7A82B64F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3094</Words>
  <Characters>17640</Characters>
  <Application>Microsoft Office Word</Application>
  <DocSecurity>4</DocSecurity>
  <Lines>147</Lines>
  <Paragraphs>41</Paragraphs>
  <ScaleCrop>false</ScaleCrop>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Clancy, Mary</cp:lastModifiedBy>
  <cp:revision>2</cp:revision>
  <cp:lastPrinted>2022-08-09T01:45:00Z</cp:lastPrinted>
  <dcterms:created xsi:type="dcterms:W3CDTF">2025-03-17T20:18:00Z</dcterms:created>
  <dcterms:modified xsi:type="dcterms:W3CDTF">2025-03-17T20:18:00Z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0x010100EC43334F78F18E4982769461F37FB131</vt:lpwstr>
  </property>
</Properties>
</file>