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75B9" w14:textId="77777777" w:rsidR="000A70AA" w:rsidRDefault="000A70AA" w:rsidP="00756AFB">
      <w:pPr>
        <w:pStyle w:val="NoSpacing"/>
        <w:rPr>
          <w:rFonts w:ascii="Times New Roman" w:hAnsi="Times New Roman" w:cs="Times New Roman"/>
          <w:b/>
          <w:bCs/>
          <w:sz w:val="24"/>
          <w:szCs w:val="24"/>
        </w:rPr>
      </w:pPr>
    </w:p>
    <w:p w14:paraId="07A13963" w14:textId="77777777" w:rsidR="00821945" w:rsidRDefault="00821945" w:rsidP="00756AFB">
      <w:pPr>
        <w:pStyle w:val="NoSpacing"/>
        <w:rPr>
          <w:rFonts w:ascii="Times New Roman" w:hAnsi="Times New Roman" w:cs="Times New Roman"/>
          <w:b/>
          <w:bCs/>
          <w:sz w:val="24"/>
          <w:szCs w:val="24"/>
        </w:rPr>
      </w:pPr>
    </w:p>
    <w:p w14:paraId="156FEE9D" w14:textId="77777777" w:rsidR="00821945" w:rsidRDefault="00821945" w:rsidP="00756AFB">
      <w:pPr>
        <w:pStyle w:val="NoSpacing"/>
        <w:rPr>
          <w:rFonts w:ascii="Times New Roman" w:hAnsi="Times New Roman" w:cs="Times New Roman"/>
          <w:b/>
          <w:bCs/>
          <w:sz w:val="24"/>
          <w:szCs w:val="24"/>
        </w:rPr>
      </w:pPr>
    </w:p>
    <w:p w14:paraId="64999F70" w14:textId="2E09827D" w:rsidR="00821945" w:rsidRDefault="00821945" w:rsidP="00756AFB">
      <w:pPr>
        <w:pStyle w:val="NoSpacing"/>
        <w:rPr>
          <w:rFonts w:ascii="Times New Roman" w:hAnsi="Times New Roman" w:cs="Times New Roman"/>
          <w:b/>
          <w:bCs/>
          <w:sz w:val="24"/>
          <w:szCs w:val="24"/>
        </w:rPr>
      </w:pPr>
      <w:r>
        <w:rPr>
          <w:rFonts w:ascii="Times New Roman" w:hAnsi="Times New Roman" w:cs="Times New Roman"/>
          <w:b/>
          <w:bCs/>
          <w:sz w:val="24"/>
          <w:szCs w:val="24"/>
        </w:rPr>
        <w:t>---------------------------</w:t>
      </w:r>
    </w:p>
    <w:p w14:paraId="6447E553" w14:textId="0DE1F6D1" w:rsidR="00821945" w:rsidRDefault="00821945" w:rsidP="00756AFB">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[use if ripeness is an issue but </w:t>
      </w:r>
      <w:r w:rsidR="00E43742">
        <w:rPr>
          <w:rFonts w:ascii="Times New Roman" w:hAnsi="Times New Roman" w:cs="Times New Roman"/>
          <w:b/>
          <w:bCs/>
          <w:sz w:val="24"/>
          <w:szCs w:val="24"/>
        </w:rPr>
        <w:t>D</w:t>
      </w:r>
      <w:r>
        <w:rPr>
          <w:rFonts w:ascii="Times New Roman" w:hAnsi="Times New Roman" w:cs="Times New Roman"/>
          <w:b/>
          <w:bCs/>
          <w:sz w:val="24"/>
          <w:szCs w:val="24"/>
        </w:rPr>
        <w:t xml:space="preserve"> doesn’t raise:]</w:t>
      </w:r>
    </w:p>
    <w:p w14:paraId="44913931" w14:textId="77777777" w:rsidR="00821945" w:rsidRDefault="00821945" w:rsidP="00756AFB">
      <w:pPr>
        <w:pStyle w:val="NoSpacing"/>
        <w:rPr>
          <w:rFonts w:ascii="Times New Roman" w:hAnsi="Times New Roman" w:cs="Times New Roman"/>
          <w:b/>
          <w:bCs/>
          <w:sz w:val="24"/>
          <w:szCs w:val="24"/>
        </w:rPr>
      </w:pPr>
    </w:p>
    <w:p w14:paraId="53847722" w14:textId="29F78F00" w:rsidR="00821945" w:rsidRPr="00821945" w:rsidRDefault="00821945" w:rsidP="00756AFB">
      <w:pPr>
        <w:pStyle w:val="NoSpacing"/>
        <w:rPr>
          <w:rFonts w:ascii="Times New Roman" w:hAnsi="Times New Roman" w:cs="Times New Roman"/>
          <w:b/>
          <w:bCs/>
          <w:sz w:val="24"/>
          <w:szCs w:val="24"/>
        </w:rPr>
      </w:pPr>
      <w:r w:rsidRPr="00821945">
        <w:rPr>
          <w:rFonts w:ascii="Times New Roman" w:hAnsi="Times New Roman" w:cs="Times New Roman"/>
          <w:sz w:val="24"/>
          <w:szCs w:val="24"/>
        </w:rPr>
        <w:t>Issues of justiciability can determine whether an adjudicative body has jurisdiction to hear a claim (</w:t>
      </w:r>
      <w:r w:rsidRPr="00821945">
        <w:rPr>
          <w:rFonts w:ascii="Times New Roman" w:hAnsi="Times New Roman" w:cs="Times New Roman"/>
          <w:i/>
          <w:iCs/>
          <w:sz w:val="24"/>
          <w:szCs w:val="24"/>
        </w:rPr>
        <w:t>see Adarand Constructors, Inc. v. Mineta</w:t>
      </w:r>
      <w:r w:rsidRPr="00821945">
        <w:rPr>
          <w:rFonts w:ascii="Times New Roman" w:hAnsi="Times New Roman" w:cs="Times New Roman"/>
          <w:sz w:val="24"/>
          <w:szCs w:val="24"/>
        </w:rPr>
        <w:t xml:space="preserve">, 515 U.S. 200 [2001]), and a tribunal may be “obliged to examine [such an issue] </w:t>
      </w:r>
      <w:r w:rsidRPr="00821945">
        <w:rPr>
          <w:rFonts w:ascii="Times New Roman" w:hAnsi="Times New Roman" w:cs="Times New Roman"/>
          <w:i/>
          <w:iCs/>
          <w:sz w:val="24"/>
          <w:szCs w:val="24"/>
        </w:rPr>
        <w:t>sua sponte</w:t>
      </w:r>
      <w:r w:rsidRPr="00821945">
        <w:rPr>
          <w:rFonts w:ascii="Times New Roman" w:hAnsi="Times New Roman" w:cs="Times New Roman"/>
          <w:sz w:val="24"/>
          <w:szCs w:val="24"/>
        </w:rPr>
        <w:t xml:space="preserve"> . . . although the parties make no contention concerning it” (</w:t>
      </w:r>
      <w:r w:rsidRPr="00821945">
        <w:rPr>
          <w:rFonts w:ascii="Times New Roman" w:hAnsi="Times New Roman" w:cs="Times New Roman"/>
          <w:i/>
          <w:iCs/>
          <w:sz w:val="24"/>
          <w:szCs w:val="24"/>
        </w:rPr>
        <w:t>id</w:t>
      </w:r>
      <w:r w:rsidRPr="00821945">
        <w:rPr>
          <w:rFonts w:ascii="Times New Roman" w:hAnsi="Times New Roman" w:cs="Times New Roman"/>
          <w:sz w:val="24"/>
          <w:szCs w:val="24"/>
        </w:rPr>
        <w:t xml:space="preserve">. [quoting, in part, </w:t>
      </w:r>
      <w:r w:rsidRPr="00821945">
        <w:rPr>
          <w:rFonts w:ascii="Times New Roman" w:hAnsi="Times New Roman" w:cs="Times New Roman"/>
          <w:i/>
          <w:iCs/>
          <w:sz w:val="24"/>
          <w:szCs w:val="24"/>
        </w:rPr>
        <w:t>Steel Co. v. Citizens for Better Environment</w:t>
      </w:r>
      <w:r w:rsidRPr="00821945">
        <w:rPr>
          <w:rFonts w:ascii="Times New Roman" w:hAnsi="Times New Roman" w:cs="Times New Roman"/>
          <w:sz w:val="24"/>
          <w:szCs w:val="24"/>
        </w:rPr>
        <w:t>, 523 U.S. 83, 95 (1998)]).</w:t>
      </w:r>
      <w:r w:rsidRPr="00821945">
        <w:rPr>
          <w:rStyle w:val="FootnoteReference"/>
          <w:rFonts w:ascii="Times New Roman" w:hAnsi="Times New Roman" w:cs="Times New Roman"/>
          <w:sz w:val="24"/>
          <w:szCs w:val="24"/>
        </w:rPr>
        <w:footnoteReference w:id="1"/>
      </w:r>
      <w:r w:rsidRPr="00821945">
        <w:rPr>
          <w:rFonts w:ascii="Times New Roman" w:hAnsi="Times New Roman" w:cs="Times New Roman"/>
          <w:sz w:val="24"/>
          <w:szCs w:val="24"/>
        </w:rPr>
        <w:t xml:space="preserve">  Here, the justiciability issue raised by the timing of the DPC is ripeness.</w:t>
      </w:r>
    </w:p>
    <w:p w14:paraId="42F6FBBF" w14:textId="77777777" w:rsidR="00821945" w:rsidRDefault="00821945" w:rsidP="00756AFB">
      <w:pPr>
        <w:pStyle w:val="NoSpacing"/>
        <w:rPr>
          <w:rFonts w:ascii="Times New Roman" w:hAnsi="Times New Roman" w:cs="Times New Roman"/>
          <w:b/>
          <w:bCs/>
          <w:sz w:val="24"/>
          <w:szCs w:val="24"/>
        </w:rPr>
      </w:pPr>
    </w:p>
    <w:p w14:paraId="4CBD0BD4" w14:textId="4FEBF3DF" w:rsidR="00821945" w:rsidRDefault="00821945" w:rsidP="00756AFB">
      <w:pPr>
        <w:pStyle w:val="NoSpacing"/>
        <w:rPr>
          <w:rFonts w:ascii="Times New Roman" w:hAnsi="Times New Roman" w:cs="Times New Roman"/>
          <w:b/>
          <w:bCs/>
          <w:sz w:val="24"/>
          <w:szCs w:val="24"/>
        </w:rPr>
      </w:pPr>
      <w:r>
        <w:rPr>
          <w:rFonts w:ascii="Times New Roman" w:hAnsi="Times New Roman" w:cs="Times New Roman"/>
          <w:b/>
          <w:bCs/>
          <w:sz w:val="24"/>
          <w:szCs w:val="24"/>
        </w:rPr>
        <w:t>---------------------------</w:t>
      </w:r>
    </w:p>
    <w:p w14:paraId="218BBEE9" w14:textId="77777777" w:rsidR="00821945" w:rsidRDefault="00821945" w:rsidP="00756AFB">
      <w:pPr>
        <w:pStyle w:val="NoSpacing"/>
        <w:rPr>
          <w:rFonts w:ascii="Times New Roman" w:hAnsi="Times New Roman" w:cs="Times New Roman"/>
          <w:b/>
          <w:bCs/>
          <w:sz w:val="24"/>
          <w:szCs w:val="24"/>
        </w:rPr>
      </w:pPr>
    </w:p>
    <w:p w14:paraId="53A6B01A" w14:textId="77777777" w:rsidR="00821945" w:rsidRPr="00F655B0" w:rsidRDefault="00821945" w:rsidP="00756AFB">
      <w:pPr>
        <w:pStyle w:val="NoSpacing"/>
        <w:rPr>
          <w:rFonts w:ascii="Times New Roman" w:hAnsi="Times New Roman" w:cs="Times New Roman"/>
          <w:b/>
          <w:bCs/>
          <w:sz w:val="24"/>
          <w:szCs w:val="24"/>
        </w:rPr>
      </w:pPr>
    </w:p>
    <w:p w14:paraId="73CDD5F0" w14:textId="69038DBD" w:rsidR="009B7618" w:rsidRPr="00F655B0" w:rsidRDefault="00DA32AD" w:rsidP="008F48C0">
      <w:pPr>
        <w:pStyle w:val="NoSpacing"/>
        <w:spacing w:line="360" w:lineRule="auto"/>
        <w:ind w:firstLine="720"/>
        <w:rPr>
          <w:rFonts w:ascii="Times New Roman" w:hAnsi="Times New Roman" w:cs="Times New Roman"/>
          <w:bCs/>
          <w:iCs/>
          <w:sz w:val="24"/>
          <w:szCs w:val="24"/>
        </w:rPr>
      </w:pPr>
      <w:r w:rsidRPr="00F655B0">
        <w:rPr>
          <w:rFonts w:ascii="Times New Roman" w:hAnsi="Times New Roman" w:cs="Times New Roman"/>
          <w:bCs/>
          <w:sz w:val="24"/>
          <w:szCs w:val="24"/>
        </w:rPr>
        <w:t xml:space="preserve">Petitioner is the </w:t>
      </w:r>
      <w:r w:rsidR="00096DDE" w:rsidRPr="00F655B0">
        <w:rPr>
          <w:rFonts w:ascii="Times New Roman" w:hAnsi="Times New Roman" w:cs="Times New Roman"/>
          <w:bCs/>
          <w:sz w:val="24"/>
          <w:szCs w:val="24"/>
        </w:rPr>
        <w:t>Parent</w:t>
      </w:r>
      <w:r w:rsidR="001723F0" w:rsidRPr="00F655B0">
        <w:rPr>
          <w:rFonts w:ascii="Times New Roman" w:hAnsi="Times New Roman" w:cs="Times New Roman"/>
          <w:bCs/>
          <w:sz w:val="24"/>
          <w:szCs w:val="24"/>
        </w:rPr>
        <w:t xml:space="preserve"> of the Student</w:t>
      </w:r>
      <w:r w:rsidRPr="00F655B0">
        <w:rPr>
          <w:rFonts w:ascii="Times New Roman" w:hAnsi="Times New Roman" w:cs="Times New Roman"/>
          <w:bCs/>
          <w:sz w:val="24"/>
          <w:szCs w:val="24"/>
        </w:rPr>
        <w:t xml:space="preserve">. </w:t>
      </w:r>
      <w:r w:rsidR="00F655B0">
        <w:rPr>
          <w:rFonts w:ascii="Times New Roman" w:hAnsi="Times New Roman" w:cs="Times New Roman"/>
          <w:bCs/>
          <w:sz w:val="24"/>
          <w:szCs w:val="24"/>
        </w:rPr>
        <w:t xml:space="preserve"> </w:t>
      </w:r>
      <w:r w:rsidR="00096DDE" w:rsidRPr="00F655B0">
        <w:rPr>
          <w:rFonts w:ascii="Times New Roman" w:hAnsi="Times New Roman" w:cs="Times New Roman"/>
          <w:bCs/>
          <w:sz w:val="24"/>
          <w:szCs w:val="24"/>
        </w:rPr>
        <w:t>Parent</w:t>
      </w:r>
      <w:r w:rsidRPr="00F655B0">
        <w:rPr>
          <w:rFonts w:ascii="Times New Roman" w:hAnsi="Times New Roman" w:cs="Times New Roman"/>
          <w:bCs/>
          <w:sz w:val="24"/>
          <w:szCs w:val="24"/>
        </w:rPr>
        <w:t xml:space="preserve"> </w:t>
      </w:r>
      <w:r w:rsidR="004F53FC" w:rsidRPr="00F655B0">
        <w:rPr>
          <w:rFonts w:ascii="Times New Roman" w:hAnsi="Times New Roman" w:cs="Times New Roman"/>
          <w:bCs/>
          <w:sz w:val="24"/>
          <w:szCs w:val="24"/>
        </w:rPr>
        <w:t xml:space="preserve">initially </w:t>
      </w:r>
      <w:r w:rsidRPr="00F655B0">
        <w:rPr>
          <w:rFonts w:ascii="Times New Roman" w:hAnsi="Times New Roman" w:cs="Times New Roman"/>
          <w:bCs/>
          <w:sz w:val="24"/>
          <w:szCs w:val="24"/>
        </w:rPr>
        <w:t xml:space="preserve">filed a Due </w:t>
      </w:r>
      <w:r w:rsidRPr="00F655B0">
        <w:rPr>
          <w:rFonts w:ascii="Times New Roman" w:hAnsi="Times New Roman" w:cs="Times New Roman"/>
          <w:bCs/>
          <w:iCs/>
          <w:sz w:val="24"/>
          <w:szCs w:val="24"/>
        </w:rPr>
        <w:t>Process Compla</w:t>
      </w:r>
      <w:r w:rsidR="00514096" w:rsidRPr="00F655B0">
        <w:rPr>
          <w:rFonts w:ascii="Times New Roman" w:hAnsi="Times New Roman" w:cs="Times New Roman"/>
          <w:bCs/>
          <w:iCs/>
          <w:sz w:val="24"/>
          <w:szCs w:val="24"/>
        </w:rPr>
        <w:t>i</w:t>
      </w:r>
      <w:r w:rsidRPr="00F655B0">
        <w:rPr>
          <w:rFonts w:ascii="Times New Roman" w:hAnsi="Times New Roman" w:cs="Times New Roman"/>
          <w:bCs/>
          <w:iCs/>
          <w:sz w:val="24"/>
          <w:szCs w:val="24"/>
        </w:rPr>
        <w:t>nt</w:t>
      </w:r>
      <w:r w:rsidR="004F53FC" w:rsidRPr="00F655B0">
        <w:rPr>
          <w:rFonts w:ascii="Times New Roman" w:hAnsi="Times New Roman" w:cs="Times New Roman"/>
          <w:bCs/>
          <w:iCs/>
          <w:sz w:val="24"/>
          <w:szCs w:val="24"/>
        </w:rPr>
        <w:t xml:space="preserve"> on </w:t>
      </w:r>
      <w:r w:rsidR="00266D2A" w:rsidRPr="00F655B0">
        <w:rPr>
          <w:rFonts w:ascii="Times New Roman" w:hAnsi="Times New Roman" w:cs="Times New Roman"/>
          <w:bCs/>
          <w:iCs/>
          <w:sz w:val="24"/>
          <w:szCs w:val="24"/>
        </w:rPr>
        <w:t xml:space="preserve">July 15, </w:t>
      </w:r>
      <w:r w:rsidR="004439CD" w:rsidRPr="00F655B0">
        <w:rPr>
          <w:rFonts w:ascii="Times New Roman" w:hAnsi="Times New Roman" w:cs="Times New Roman"/>
          <w:bCs/>
          <w:iCs/>
          <w:sz w:val="24"/>
          <w:szCs w:val="24"/>
        </w:rPr>
        <w:t>2024</w:t>
      </w:r>
      <w:r w:rsidRPr="00F655B0">
        <w:rPr>
          <w:rFonts w:ascii="Times New Roman" w:hAnsi="Times New Roman" w:cs="Times New Roman"/>
          <w:bCs/>
          <w:iCs/>
          <w:sz w:val="24"/>
          <w:szCs w:val="24"/>
        </w:rPr>
        <w:t xml:space="preserve"> (</w:t>
      </w:r>
      <w:r w:rsidR="009B7618" w:rsidRPr="00F655B0">
        <w:rPr>
          <w:rFonts w:ascii="Times New Roman" w:hAnsi="Times New Roman" w:cs="Times New Roman"/>
          <w:bCs/>
          <w:iCs/>
          <w:sz w:val="24"/>
          <w:szCs w:val="24"/>
        </w:rPr>
        <w:t>DP”</w:t>
      </w:r>
      <w:r w:rsidRPr="00F655B0">
        <w:rPr>
          <w:rFonts w:ascii="Times New Roman" w:hAnsi="Times New Roman" w:cs="Times New Roman"/>
          <w:bCs/>
          <w:iCs/>
          <w:sz w:val="24"/>
          <w:szCs w:val="24"/>
        </w:rPr>
        <w:t>) against the</w:t>
      </w:r>
      <w:r w:rsidR="00E65A13" w:rsidRPr="00F655B0">
        <w:rPr>
          <w:rFonts w:ascii="Times New Roman" w:hAnsi="Times New Roman" w:cs="Times New Roman"/>
          <w:bCs/>
          <w:iCs/>
          <w:sz w:val="24"/>
          <w:szCs w:val="24"/>
        </w:rPr>
        <w:t xml:space="preserve"> New York City Department of Education</w:t>
      </w:r>
      <w:r w:rsidR="009B7618" w:rsidRPr="00F655B0">
        <w:rPr>
          <w:rFonts w:ascii="Times New Roman" w:hAnsi="Times New Roman" w:cs="Times New Roman"/>
          <w:bCs/>
          <w:iCs/>
          <w:sz w:val="24"/>
          <w:szCs w:val="24"/>
        </w:rPr>
        <w:t xml:space="preserve"> (D</w:t>
      </w:r>
      <w:r w:rsidR="001723F0" w:rsidRPr="00F655B0">
        <w:rPr>
          <w:rFonts w:ascii="Times New Roman" w:hAnsi="Times New Roman" w:cs="Times New Roman"/>
          <w:bCs/>
          <w:iCs/>
          <w:sz w:val="24"/>
          <w:szCs w:val="24"/>
        </w:rPr>
        <w:t>epartment or D</w:t>
      </w:r>
      <w:r w:rsidR="009B7618" w:rsidRPr="00F655B0">
        <w:rPr>
          <w:rFonts w:ascii="Times New Roman" w:hAnsi="Times New Roman" w:cs="Times New Roman"/>
          <w:bCs/>
          <w:iCs/>
          <w:sz w:val="24"/>
          <w:szCs w:val="24"/>
        </w:rPr>
        <w:t>OE)</w:t>
      </w:r>
      <w:r w:rsidR="00E65A13" w:rsidRPr="00F655B0">
        <w:rPr>
          <w:rFonts w:ascii="Times New Roman" w:hAnsi="Times New Roman" w:cs="Times New Roman"/>
          <w:bCs/>
          <w:iCs/>
          <w:sz w:val="24"/>
          <w:szCs w:val="24"/>
        </w:rPr>
        <w:t xml:space="preserve"> </w:t>
      </w:r>
      <w:r w:rsidRPr="00F655B0">
        <w:rPr>
          <w:rFonts w:ascii="Times New Roman" w:hAnsi="Times New Roman" w:cs="Times New Roman"/>
          <w:bCs/>
          <w:iCs/>
          <w:sz w:val="24"/>
          <w:szCs w:val="24"/>
        </w:rPr>
        <w:t>pursuant to the Individuals with Disabilities Education Act (IDEA)</w:t>
      </w:r>
      <w:r w:rsidR="008F48C0" w:rsidRPr="00F655B0">
        <w:rPr>
          <w:rFonts w:ascii="Times New Roman" w:hAnsi="Times New Roman" w:cs="Times New Roman"/>
          <w:bCs/>
          <w:iCs/>
          <w:sz w:val="24"/>
          <w:szCs w:val="24"/>
        </w:rPr>
        <w:t xml:space="preserve"> and Education Law § 3602-c, alleging that the DOE has failed to provide the student with a free appropriate public education (FAPE) for the 2024-2025 school year by failing to implement an educational program</w:t>
      </w:r>
      <w:r w:rsidR="00A53E01" w:rsidRPr="00F655B0">
        <w:rPr>
          <w:rFonts w:ascii="Times New Roman" w:hAnsi="Times New Roman" w:cs="Times New Roman"/>
          <w:bCs/>
          <w:iCs/>
          <w:sz w:val="24"/>
          <w:szCs w:val="24"/>
        </w:rPr>
        <w:t xml:space="preserve">. </w:t>
      </w:r>
      <w:r w:rsidR="00F655B0">
        <w:rPr>
          <w:rFonts w:ascii="Times New Roman" w:hAnsi="Times New Roman" w:cs="Times New Roman"/>
          <w:bCs/>
          <w:iCs/>
          <w:sz w:val="24"/>
          <w:szCs w:val="24"/>
        </w:rPr>
        <w:t xml:space="preserve"> </w:t>
      </w:r>
      <w:r w:rsidR="009D474F" w:rsidRPr="00F655B0">
        <w:rPr>
          <w:rFonts w:ascii="Times New Roman" w:hAnsi="Times New Roman" w:cs="Times New Roman"/>
          <w:bCs/>
          <w:iCs/>
          <w:sz w:val="24"/>
          <w:szCs w:val="24"/>
        </w:rPr>
        <w:t xml:space="preserve">In the DPC, Petitioner is seeking implementation of services as mandated in an educational program, and for the DOE to fund the services at rates charged by the providers of the services </w:t>
      </w:r>
      <w:r w:rsidR="00A53E01" w:rsidRPr="00F655B0">
        <w:rPr>
          <w:rFonts w:ascii="Times New Roman" w:hAnsi="Times New Roman" w:cs="Times New Roman"/>
          <w:bCs/>
          <w:iCs/>
          <w:sz w:val="24"/>
          <w:szCs w:val="24"/>
        </w:rPr>
        <w:t>(</w:t>
      </w:r>
      <w:r w:rsidR="00F655B0" w:rsidRPr="00F655B0">
        <w:rPr>
          <w:rFonts w:ascii="Times New Roman" w:hAnsi="Times New Roman" w:cs="Times New Roman"/>
          <w:bCs/>
          <w:i/>
          <w:sz w:val="24"/>
          <w:szCs w:val="24"/>
        </w:rPr>
        <w:t>see</w:t>
      </w:r>
      <w:r w:rsidR="00F655B0">
        <w:rPr>
          <w:rFonts w:ascii="Times New Roman" w:hAnsi="Times New Roman" w:cs="Times New Roman"/>
          <w:bCs/>
          <w:iCs/>
          <w:sz w:val="24"/>
          <w:szCs w:val="24"/>
        </w:rPr>
        <w:t xml:space="preserve"> </w:t>
      </w:r>
      <w:r w:rsidR="00A53E01" w:rsidRPr="00F655B0">
        <w:rPr>
          <w:rFonts w:ascii="Times New Roman" w:hAnsi="Times New Roman" w:cs="Times New Roman"/>
          <w:bCs/>
          <w:iCs/>
          <w:sz w:val="24"/>
          <w:szCs w:val="24"/>
        </w:rPr>
        <w:t xml:space="preserve">IHO Ex. </w:t>
      </w:r>
      <w:r w:rsidR="00D23142" w:rsidRPr="00F655B0">
        <w:rPr>
          <w:rFonts w:ascii="Times New Roman" w:hAnsi="Times New Roman" w:cs="Times New Roman"/>
          <w:bCs/>
          <w:iCs/>
          <w:sz w:val="24"/>
          <w:szCs w:val="24"/>
        </w:rPr>
        <w:t>I</w:t>
      </w:r>
      <w:r w:rsidR="00A53E01" w:rsidRPr="00F655B0">
        <w:rPr>
          <w:rFonts w:ascii="Times New Roman" w:hAnsi="Times New Roman" w:cs="Times New Roman"/>
          <w:bCs/>
          <w:iCs/>
          <w:sz w:val="24"/>
          <w:szCs w:val="24"/>
        </w:rPr>
        <w:t>).</w:t>
      </w:r>
    </w:p>
    <w:p w14:paraId="7FD3C308" w14:textId="1647D977" w:rsidR="00D23142" w:rsidRPr="00F655B0" w:rsidRDefault="00DA32AD" w:rsidP="00266D2A">
      <w:pPr>
        <w:pStyle w:val="NoSpacing"/>
        <w:spacing w:line="360" w:lineRule="auto"/>
        <w:ind w:firstLine="720"/>
        <w:rPr>
          <w:rFonts w:ascii="Times New Roman" w:hAnsi="Times New Roman" w:cs="Times New Roman"/>
          <w:bCs/>
          <w:iCs/>
          <w:sz w:val="24"/>
          <w:szCs w:val="24"/>
        </w:rPr>
      </w:pPr>
      <w:r w:rsidRPr="00F655B0">
        <w:rPr>
          <w:rFonts w:ascii="Times New Roman" w:hAnsi="Times New Roman" w:cs="Times New Roman"/>
          <w:bCs/>
          <w:iCs/>
          <w:sz w:val="24"/>
          <w:szCs w:val="24"/>
        </w:rPr>
        <w:t>T</w:t>
      </w:r>
      <w:r w:rsidR="00BC2E0A" w:rsidRPr="00F655B0">
        <w:rPr>
          <w:rFonts w:ascii="Times New Roman" w:hAnsi="Times New Roman" w:cs="Times New Roman"/>
          <w:bCs/>
          <w:iCs/>
          <w:sz w:val="24"/>
          <w:szCs w:val="24"/>
        </w:rPr>
        <w:t>h</w:t>
      </w:r>
      <w:r w:rsidR="005810F0" w:rsidRPr="00F655B0">
        <w:rPr>
          <w:rFonts w:ascii="Times New Roman" w:hAnsi="Times New Roman" w:cs="Times New Roman"/>
          <w:bCs/>
          <w:iCs/>
          <w:sz w:val="24"/>
          <w:szCs w:val="24"/>
        </w:rPr>
        <w:t xml:space="preserve">e undersigned </w:t>
      </w:r>
      <w:r w:rsidRPr="00F655B0">
        <w:rPr>
          <w:rFonts w:ascii="Times New Roman" w:hAnsi="Times New Roman" w:cs="Times New Roman"/>
          <w:bCs/>
          <w:iCs/>
          <w:sz w:val="24"/>
          <w:szCs w:val="24"/>
        </w:rPr>
        <w:t>Hearing Officer was appointed to preside over this case on</w:t>
      </w:r>
      <w:r w:rsidR="00532440" w:rsidRPr="00F655B0">
        <w:rPr>
          <w:rFonts w:ascii="Times New Roman" w:hAnsi="Times New Roman" w:cs="Times New Roman"/>
          <w:bCs/>
          <w:iCs/>
          <w:sz w:val="24"/>
          <w:szCs w:val="24"/>
        </w:rPr>
        <w:t xml:space="preserve"> </w:t>
      </w:r>
      <w:r w:rsidR="00266D2A" w:rsidRPr="00F655B0">
        <w:rPr>
          <w:rFonts w:ascii="Times New Roman" w:hAnsi="Times New Roman" w:cs="Times New Roman"/>
          <w:bCs/>
          <w:iCs/>
          <w:sz w:val="24"/>
          <w:szCs w:val="24"/>
        </w:rPr>
        <w:t xml:space="preserve">July </w:t>
      </w:r>
      <w:r w:rsidR="00D23142" w:rsidRPr="00F655B0">
        <w:rPr>
          <w:rFonts w:ascii="Times New Roman" w:hAnsi="Times New Roman" w:cs="Times New Roman"/>
          <w:bCs/>
          <w:iCs/>
          <w:sz w:val="24"/>
          <w:szCs w:val="24"/>
        </w:rPr>
        <w:t>24</w:t>
      </w:r>
      <w:r w:rsidR="00266D2A" w:rsidRPr="00F655B0">
        <w:rPr>
          <w:rFonts w:ascii="Times New Roman" w:hAnsi="Times New Roman" w:cs="Times New Roman"/>
          <w:bCs/>
          <w:iCs/>
          <w:sz w:val="24"/>
          <w:szCs w:val="24"/>
        </w:rPr>
        <w:t>, 2024.</w:t>
      </w:r>
      <w:r w:rsidR="00F655B0">
        <w:rPr>
          <w:rFonts w:ascii="Times New Roman" w:hAnsi="Times New Roman" w:cs="Times New Roman"/>
          <w:bCs/>
          <w:iCs/>
          <w:sz w:val="24"/>
          <w:szCs w:val="24"/>
        </w:rPr>
        <w:t xml:space="preserve"> </w:t>
      </w:r>
      <w:r w:rsidR="008F48C0" w:rsidRPr="00F655B0">
        <w:rPr>
          <w:rFonts w:ascii="Times New Roman" w:hAnsi="Times New Roman" w:cs="Times New Roman"/>
          <w:bCs/>
          <w:iCs/>
          <w:sz w:val="24"/>
          <w:szCs w:val="24"/>
        </w:rPr>
        <w:t xml:space="preserve"> </w:t>
      </w:r>
      <w:r w:rsidR="00D23142" w:rsidRPr="00F655B0">
        <w:rPr>
          <w:rFonts w:ascii="Times New Roman" w:hAnsi="Times New Roman" w:cs="Times New Roman"/>
          <w:bCs/>
          <w:iCs/>
          <w:sz w:val="24"/>
          <w:szCs w:val="24"/>
        </w:rPr>
        <w:t xml:space="preserve">On </w:t>
      </w:r>
      <w:sdt>
        <w:sdtPr>
          <w:rPr>
            <w:rFonts w:ascii="Times New Roman" w:hAnsi="Times New Roman" w:cs="Times New Roman"/>
            <w:bCs/>
            <w:iCs/>
            <w:sz w:val="24"/>
            <w:szCs w:val="24"/>
          </w:rPr>
          <w:id w:val="-2029626170"/>
          <w:placeholder>
            <w:docPart w:val="51FE38061E10462CA2CCE2A6F5E71584"/>
          </w:placeholder>
          <w:date w:fullDate="2024-08-19T00:00:00Z">
            <w:dateFormat w:val="MMMM d, yyyy"/>
            <w:lid w:val="en-US"/>
            <w:storeMappedDataAs w:val="dateTime"/>
            <w:calendar w:val="gregorian"/>
          </w:date>
        </w:sdtPr>
        <w:sdtEndPr/>
        <w:sdtContent>
          <w:r w:rsidR="00D23142" w:rsidRPr="00F655B0">
            <w:rPr>
              <w:rFonts w:ascii="Times New Roman" w:hAnsi="Times New Roman" w:cs="Times New Roman"/>
              <w:bCs/>
              <w:iCs/>
              <w:sz w:val="24"/>
              <w:szCs w:val="24"/>
            </w:rPr>
            <w:t>August 19, 2024</w:t>
          </w:r>
        </w:sdtContent>
      </w:sdt>
      <w:r w:rsidR="00D23142" w:rsidRPr="00F655B0">
        <w:rPr>
          <w:rFonts w:ascii="Times New Roman" w:hAnsi="Times New Roman" w:cs="Times New Roman"/>
          <w:bCs/>
          <w:iCs/>
          <w:sz w:val="24"/>
          <w:szCs w:val="24"/>
        </w:rPr>
        <w:t xml:space="preserve">, DOE Representative filed a motion to dismiss the DPC on the ground that the claims for the 2024-2025 school year are not ripe for adjudication as the 10-month school year has not started. </w:t>
      </w:r>
      <w:r w:rsidR="00F655B0">
        <w:rPr>
          <w:rFonts w:ascii="Times New Roman" w:hAnsi="Times New Roman" w:cs="Times New Roman"/>
          <w:bCs/>
          <w:iCs/>
          <w:sz w:val="24"/>
          <w:szCs w:val="24"/>
        </w:rPr>
        <w:t xml:space="preserve"> </w:t>
      </w:r>
      <w:r w:rsidR="00D23142" w:rsidRPr="00F655B0">
        <w:rPr>
          <w:rFonts w:ascii="Times New Roman" w:hAnsi="Times New Roman" w:cs="Times New Roman"/>
          <w:bCs/>
          <w:iCs/>
          <w:sz w:val="24"/>
          <w:szCs w:val="24"/>
        </w:rPr>
        <w:t>On August 27, 2024, Parent Representative reserved the right to respond to the motion.</w:t>
      </w:r>
      <w:r w:rsidR="00F655B0">
        <w:rPr>
          <w:rFonts w:ascii="Times New Roman" w:hAnsi="Times New Roman" w:cs="Times New Roman"/>
          <w:bCs/>
          <w:iCs/>
          <w:sz w:val="24"/>
          <w:szCs w:val="24"/>
        </w:rPr>
        <w:t xml:space="preserve"> </w:t>
      </w:r>
      <w:r w:rsidR="00D23142" w:rsidRPr="00F655B0">
        <w:rPr>
          <w:rFonts w:ascii="Times New Roman" w:hAnsi="Times New Roman" w:cs="Times New Roman"/>
          <w:bCs/>
          <w:iCs/>
          <w:sz w:val="24"/>
          <w:szCs w:val="24"/>
        </w:rPr>
        <w:t xml:space="preserve"> On September 9</w:t>
      </w:r>
      <w:r w:rsidR="008F48C0" w:rsidRPr="00F655B0">
        <w:rPr>
          <w:rFonts w:ascii="Times New Roman" w:hAnsi="Times New Roman" w:cs="Times New Roman"/>
          <w:bCs/>
          <w:iCs/>
          <w:sz w:val="24"/>
          <w:szCs w:val="24"/>
        </w:rPr>
        <w:t>, 2024, the parties appeared for a Pre-Hearing Conference.</w:t>
      </w:r>
      <w:r w:rsidR="00F655B0">
        <w:rPr>
          <w:rFonts w:ascii="Times New Roman" w:hAnsi="Times New Roman" w:cs="Times New Roman"/>
          <w:bCs/>
          <w:iCs/>
          <w:sz w:val="24"/>
          <w:szCs w:val="24"/>
        </w:rPr>
        <w:t xml:space="preserve"> </w:t>
      </w:r>
      <w:r w:rsidR="008F48C0" w:rsidRPr="00F655B0">
        <w:rPr>
          <w:rFonts w:ascii="Times New Roman" w:hAnsi="Times New Roman" w:cs="Times New Roman"/>
          <w:bCs/>
          <w:iCs/>
          <w:sz w:val="24"/>
          <w:szCs w:val="24"/>
        </w:rPr>
        <w:t xml:space="preserve"> </w:t>
      </w:r>
      <w:r w:rsidR="00D23142" w:rsidRPr="00F655B0">
        <w:rPr>
          <w:rFonts w:ascii="Times New Roman" w:hAnsi="Times New Roman" w:cs="Times New Roman"/>
          <w:bCs/>
          <w:iCs/>
          <w:sz w:val="24"/>
          <w:szCs w:val="24"/>
        </w:rPr>
        <w:t>At that conference, DOE Representative indicated that they would file an amended motion to dismiss to add claims for subject matter jurisdiction by the following day, and Parent Representative was given one week to respond.</w:t>
      </w:r>
      <w:r w:rsidR="00F655B0">
        <w:rPr>
          <w:rFonts w:ascii="Times New Roman" w:hAnsi="Times New Roman" w:cs="Times New Roman"/>
          <w:bCs/>
          <w:iCs/>
          <w:sz w:val="24"/>
          <w:szCs w:val="24"/>
        </w:rPr>
        <w:t xml:space="preserve"> </w:t>
      </w:r>
      <w:r w:rsidR="00D23142" w:rsidRPr="00F655B0">
        <w:rPr>
          <w:rFonts w:ascii="Times New Roman" w:hAnsi="Times New Roman" w:cs="Times New Roman"/>
          <w:bCs/>
          <w:iCs/>
          <w:sz w:val="24"/>
          <w:szCs w:val="24"/>
        </w:rPr>
        <w:t xml:space="preserve"> DOE Representative filed their amended motion to dismiss that same date on September 9, 2024 (IHO Ex. II), and Parent Representative filed their response on September 17, 2024. (IHO Ex. III).</w:t>
      </w:r>
    </w:p>
    <w:p w14:paraId="5F730EB0" w14:textId="58605FC1" w:rsidR="005C11C4" w:rsidRPr="00F655B0" w:rsidRDefault="005C11C4" w:rsidP="00F655B0">
      <w:pPr>
        <w:pStyle w:val="NoSpacing"/>
        <w:spacing w:before="120" w:line="360" w:lineRule="auto"/>
        <w:rPr>
          <w:rFonts w:ascii="Times New Roman" w:hAnsi="Times New Roman" w:cs="Times New Roman"/>
          <w:bCs/>
          <w:iCs/>
          <w:sz w:val="24"/>
          <w:szCs w:val="24"/>
        </w:rPr>
      </w:pPr>
      <w:r w:rsidRPr="00F655B0">
        <w:rPr>
          <w:rFonts w:ascii="Times New Roman" w:hAnsi="Times New Roman" w:cs="Times New Roman"/>
          <w:bCs/>
          <w:iCs/>
          <w:sz w:val="24"/>
          <w:szCs w:val="24"/>
          <w:u w:val="single"/>
        </w:rPr>
        <w:t>Subject Matter Jurisdiction</w:t>
      </w:r>
    </w:p>
    <w:p w14:paraId="18B6FB50" w14:textId="6F0B116C" w:rsidR="005C11C4" w:rsidRPr="00F655B0" w:rsidRDefault="005C11C4" w:rsidP="00266D2A">
      <w:pPr>
        <w:pStyle w:val="NoSpacing"/>
        <w:spacing w:line="360" w:lineRule="auto"/>
        <w:ind w:firstLine="720"/>
        <w:rPr>
          <w:rFonts w:ascii="Times New Roman" w:hAnsi="Times New Roman" w:cs="Times New Roman"/>
          <w:bCs/>
          <w:iCs/>
          <w:sz w:val="24"/>
          <w:szCs w:val="24"/>
        </w:rPr>
      </w:pPr>
      <w:r w:rsidRPr="00F655B0">
        <w:rPr>
          <w:rFonts w:ascii="Times New Roman" w:hAnsi="Times New Roman" w:cs="Times New Roman"/>
          <w:bCs/>
          <w:iCs/>
          <w:sz w:val="24"/>
          <w:szCs w:val="24"/>
        </w:rPr>
        <w:t>DOE argues that the DPC should be dismissed based off the regulatory amendment to 8 NYCRR § 200.5</w:t>
      </w:r>
      <w:r w:rsidR="00747F56">
        <w:rPr>
          <w:rFonts w:ascii="Times New Roman" w:hAnsi="Times New Roman" w:cs="Times New Roman"/>
          <w:bCs/>
          <w:iCs/>
          <w:sz w:val="24"/>
          <w:szCs w:val="24"/>
        </w:rPr>
        <w:t>,</w:t>
      </w:r>
      <w:r w:rsidRPr="00F655B0">
        <w:rPr>
          <w:rFonts w:ascii="Times New Roman" w:hAnsi="Times New Roman" w:cs="Times New Roman"/>
          <w:bCs/>
          <w:iCs/>
          <w:sz w:val="24"/>
          <w:szCs w:val="24"/>
        </w:rPr>
        <w:t xml:space="preserve"> which was </w:t>
      </w:r>
      <w:r w:rsidR="00747F56">
        <w:rPr>
          <w:rFonts w:ascii="Times New Roman" w:hAnsi="Times New Roman" w:cs="Times New Roman"/>
          <w:bCs/>
          <w:iCs/>
          <w:sz w:val="24"/>
          <w:szCs w:val="24"/>
        </w:rPr>
        <w:t>promulga</w:t>
      </w:r>
      <w:r w:rsidRPr="00F655B0">
        <w:rPr>
          <w:rFonts w:ascii="Times New Roman" w:hAnsi="Times New Roman" w:cs="Times New Roman"/>
          <w:bCs/>
          <w:iCs/>
          <w:sz w:val="24"/>
          <w:szCs w:val="24"/>
        </w:rPr>
        <w:t>ted on July 15, 2024, and</w:t>
      </w:r>
      <w:r w:rsidR="00747F56">
        <w:rPr>
          <w:rFonts w:ascii="Times New Roman" w:hAnsi="Times New Roman" w:cs="Times New Roman"/>
          <w:bCs/>
          <w:iCs/>
          <w:sz w:val="24"/>
          <w:szCs w:val="24"/>
        </w:rPr>
        <w:t xml:space="preserve"> which</w:t>
      </w:r>
      <w:r w:rsidRPr="00F655B0">
        <w:rPr>
          <w:rFonts w:ascii="Times New Roman" w:hAnsi="Times New Roman" w:cs="Times New Roman"/>
          <w:bCs/>
          <w:iCs/>
          <w:sz w:val="24"/>
          <w:szCs w:val="24"/>
        </w:rPr>
        <w:t xml:space="preserve"> states</w:t>
      </w:r>
      <w:r w:rsidR="00747F56">
        <w:rPr>
          <w:rFonts w:ascii="Times New Roman" w:hAnsi="Times New Roman" w:cs="Times New Roman"/>
          <w:bCs/>
          <w:iCs/>
          <w:sz w:val="24"/>
          <w:szCs w:val="24"/>
        </w:rPr>
        <w:t>,</w:t>
      </w:r>
      <w:r w:rsidRPr="00F655B0">
        <w:rPr>
          <w:rFonts w:ascii="Times New Roman" w:hAnsi="Times New Roman" w:cs="Times New Roman"/>
          <w:bCs/>
          <w:iCs/>
          <w:sz w:val="24"/>
          <w:szCs w:val="24"/>
        </w:rPr>
        <w:t xml:space="preserve"> in relevant part:</w:t>
      </w:r>
    </w:p>
    <w:p w14:paraId="31FCC40B" w14:textId="1DB48AC4" w:rsidR="009D474F" w:rsidRPr="00F655B0" w:rsidRDefault="005C11C4" w:rsidP="009D474F">
      <w:pPr>
        <w:pStyle w:val="NoSpacing"/>
        <w:ind w:left="720" w:right="720"/>
        <w:jc w:val="both"/>
        <w:rPr>
          <w:rFonts w:ascii="Times New Roman" w:hAnsi="Times New Roman" w:cs="Times New Roman"/>
          <w:bCs/>
          <w:iCs/>
          <w:sz w:val="24"/>
          <w:szCs w:val="24"/>
        </w:rPr>
      </w:pPr>
      <w:r w:rsidRPr="00F655B0">
        <w:rPr>
          <w:rFonts w:ascii="Times New Roman" w:hAnsi="Times New Roman" w:cs="Times New Roman"/>
          <w:bCs/>
          <w:iCs/>
          <w:sz w:val="24"/>
          <w:szCs w:val="24"/>
        </w:rPr>
        <w:lastRenderedPageBreak/>
        <w:t>“A parent or school district may file a due process complaint with respect to any matter relating to the identification, evaluation, or educational placement of a student with a disability, a student suspected of having a disability, or the provision of free appropriate public education to such student. This does not include disputes over whether a rate charged by a licensed provider is consistent with the program in a student's IESP or aligned with the current market rate for such services; any due process complaint filed on or after July 16, 2024 concerning such issues shall be subject to dismissal on jurisdictional grounds.”</w:t>
      </w:r>
    </w:p>
    <w:p w14:paraId="2DC0A443" w14:textId="77777777" w:rsidR="009D474F" w:rsidRPr="00F655B0" w:rsidRDefault="009D474F" w:rsidP="009D474F">
      <w:pPr>
        <w:pStyle w:val="NoSpacing"/>
        <w:ind w:left="720" w:right="720"/>
        <w:jc w:val="both"/>
        <w:rPr>
          <w:rFonts w:ascii="Times New Roman" w:hAnsi="Times New Roman" w:cs="Times New Roman"/>
          <w:bCs/>
          <w:iCs/>
          <w:sz w:val="24"/>
          <w:szCs w:val="24"/>
        </w:rPr>
      </w:pPr>
    </w:p>
    <w:p w14:paraId="368B8471" w14:textId="29651B41" w:rsidR="009D474F" w:rsidRPr="00F655B0" w:rsidRDefault="009D474F" w:rsidP="009D474F">
      <w:pPr>
        <w:pStyle w:val="NoSpacing"/>
        <w:spacing w:line="360" w:lineRule="auto"/>
        <w:ind w:right="720" w:firstLine="720"/>
        <w:jc w:val="both"/>
        <w:rPr>
          <w:rFonts w:ascii="Times New Roman" w:hAnsi="Times New Roman" w:cs="Times New Roman"/>
          <w:bCs/>
          <w:iCs/>
          <w:sz w:val="24"/>
          <w:szCs w:val="24"/>
        </w:rPr>
      </w:pPr>
      <w:r w:rsidRPr="00F655B0">
        <w:rPr>
          <w:rFonts w:ascii="Times New Roman" w:hAnsi="Times New Roman" w:cs="Times New Roman"/>
          <w:bCs/>
          <w:iCs/>
          <w:sz w:val="24"/>
          <w:szCs w:val="24"/>
        </w:rPr>
        <w:t xml:space="preserve">The DPC was filed on July 15, 2024. The amendment clearly states that the regulation is to apply to matters filed on July 16, 2024, and thereafter. </w:t>
      </w:r>
      <w:r w:rsidR="00F655B0">
        <w:rPr>
          <w:rFonts w:ascii="Times New Roman" w:hAnsi="Times New Roman" w:cs="Times New Roman"/>
          <w:bCs/>
          <w:iCs/>
          <w:sz w:val="24"/>
          <w:szCs w:val="24"/>
        </w:rPr>
        <w:t xml:space="preserve"> </w:t>
      </w:r>
      <w:r w:rsidRPr="00F655B0">
        <w:rPr>
          <w:rFonts w:ascii="Times New Roman" w:hAnsi="Times New Roman" w:cs="Times New Roman"/>
          <w:bCs/>
          <w:iCs/>
          <w:sz w:val="24"/>
          <w:szCs w:val="24"/>
        </w:rPr>
        <w:t>There is nothing within the plain reading of the regulation which states that the amendment is to be applied retroactively to cases filed before July 15, 2024</w:t>
      </w:r>
      <w:r w:rsidR="00FE61C4">
        <w:rPr>
          <w:rFonts w:ascii="Times New Roman" w:hAnsi="Times New Roman" w:cs="Times New Roman"/>
          <w:bCs/>
          <w:iCs/>
          <w:sz w:val="24"/>
          <w:szCs w:val="24"/>
        </w:rPr>
        <w:t xml:space="preserve"> (</w:t>
      </w:r>
      <w:r w:rsidR="00FE61C4" w:rsidRPr="00FE61C4">
        <w:rPr>
          <w:rFonts w:ascii="Times New Roman" w:hAnsi="Times New Roman" w:cs="Times New Roman"/>
          <w:bCs/>
          <w:i/>
          <w:sz w:val="24"/>
          <w:szCs w:val="24"/>
        </w:rPr>
        <w:t>s</w:t>
      </w:r>
      <w:r w:rsidR="009A669A">
        <w:rPr>
          <w:rFonts w:ascii="Times New Roman" w:hAnsi="Times New Roman" w:cs="Times New Roman"/>
          <w:bCs/>
          <w:i/>
          <w:sz w:val="24"/>
          <w:szCs w:val="24"/>
        </w:rPr>
        <w:t>ee also Application of a Student with a Disability</w:t>
      </w:r>
      <w:r w:rsidR="009A669A">
        <w:rPr>
          <w:rFonts w:ascii="Times New Roman" w:hAnsi="Times New Roman" w:cs="Times New Roman"/>
          <w:bCs/>
          <w:iCs/>
          <w:sz w:val="24"/>
          <w:szCs w:val="24"/>
        </w:rPr>
        <w:t>, Appeal No. 24-38</w:t>
      </w:r>
      <w:r w:rsidR="00FD7094">
        <w:rPr>
          <w:rFonts w:ascii="Times New Roman" w:hAnsi="Times New Roman" w:cs="Times New Roman"/>
          <w:bCs/>
          <w:iCs/>
          <w:sz w:val="24"/>
          <w:szCs w:val="24"/>
        </w:rPr>
        <w:t>6</w:t>
      </w:r>
      <w:r w:rsidR="009A669A">
        <w:rPr>
          <w:rFonts w:ascii="Times New Roman" w:hAnsi="Times New Roman" w:cs="Times New Roman"/>
          <w:bCs/>
          <w:iCs/>
          <w:sz w:val="24"/>
          <w:szCs w:val="24"/>
        </w:rPr>
        <w:t xml:space="preserve"> (Oct. 28, 2024), pp. 7-10 </w:t>
      </w:r>
      <w:r w:rsidR="00FE61C4">
        <w:rPr>
          <w:rFonts w:ascii="Times New Roman" w:hAnsi="Times New Roman" w:cs="Times New Roman"/>
          <w:bCs/>
          <w:iCs/>
          <w:sz w:val="24"/>
          <w:szCs w:val="24"/>
        </w:rPr>
        <w:t>[</w:t>
      </w:r>
      <w:r w:rsidR="009A669A">
        <w:rPr>
          <w:rFonts w:ascii="Times New Roman" w:hAnsi="Times New Roman" w:cs="Times New Roman"/>
          <w:bCs/>
          <w:iCs/>
          <w:sz w:val="24"/>
          <w:szCs w:val="24"/>
        </w:rPr>
        <w:t xml:space="preserve">subject matter jurisdiction dismissal motion denied where the complaint was filed before July 16, 2024, </w:t>
      </w:r>
      <w:r w:rsidR="00FE61C4">
        <w:rPr>
          <w:rFonts w:ascii="Times New Roman" w:hAnsi="Times New Roman" w:cs="Times New Roman"/>
          <w:bCs/>
          <w:iCs/>
          <w:sz w:val="24"/>
          <w:szCs w:val="24"/>
        </w:rPr>
        <w:t xml:space="preserve">and </w:t>
      </w:r>
      <w:r w:rsidR="009A669A">
        <w:rPr>
          <w:rFonts w:ascii="Times New Roman" w:hAnsi="Times New Roman" w:cs="Times New Roman"/>
          <w:bCs/>
          <w:iCs/>
          <w:sz w:val="24"/>
          <w:szCs w:val="24"/>
        </w:rPr>
        <w:t>“at least one court” had “issu[ed a] temporary restraining order suspending application of the regulatory amendment[,]” and “the regulation [thus] may not be deemed to apply”]</w:t>
      </w:r>
      <w:r w:rsidR="00FE61C4">
        <w:rPr>
          <w:rFonts w:ascii="Times New Roman" w:hAnsi="Times New Roman" w:cs="Times New Roman"/>
          <w:bCs/>
          <w:iCs/>
          <w:sz w:val="24"/>
          <w:szCs w:val="24"/>
        </w:rPr>
        <w:t>.</w:t>
      </w:r>
      <w:r w:rsidR="00F655B0">
        <w:rPr>
          <w:rFonts w:ascii="Times New Roman" w:hAnsi="Times New Roman" w:cs="Times New Roman"/>
          <w:bCs/>
          <w:iCs/>
          <w:sz w:val="24"/>
          <w:szCs w:val="24"/>
        </w:rPr>
        <w:t xml:space="preserve"> </w:t>
      </w:r>
      <w:r w:rsidRPr="00F655B0">
        <w:rPr>
          <w:rFonts w:ascii="Times New Roman" w:hAnsi="Times New Roman" w:cs="Times New Roman"/>
          <w:bCs/>
          <w:iCs/>
          <w:sz w:val="24"/>
          <w:szCs w:val="24"/>
        </w:rPr>
        <w:t xml:space="preserve"> </w:t>
      </w:r>
      <w:r w:rsidR="00FE61C4">
        <w:rPr>
          <w:rFonts w:ascii="Times New Roman" w:hAnsi="Times New Roman" w:cs="Times New Roman"/>
          <w:bCs/>
          <w:iCs/>
          <w:sz w:val="24"/>
          <w:szCs w:val="24"/>
        </w:rPr>
        <w:t>Finally, p</w:t>
      </w:r>
      <w:r w:rsidR="00943CD3" w:rsidRPr="00F655B0">
        <w:rPr>
          <w:rFonts w:ascii="Times New Roman" w:hAnsi="Times New Roman" w:cs="Times New Roman"/>
          <w:bCs/>
          <w:iCs/>
          <w:sz w:val="24"/>
          <w:szCs w:val="24"/>
        </w:rPr>
        <w:t>rior to the enactment of the regulatory amendment, Impartial Hearing Officers had the authority to hear complaints brought under 3602-c (</w:t>
      </w:r>
      <w:r w:rsidR="00943CD3" w:rsidRPr="00F655B0">
        <w:rPr>
          <w:rFonts w:ascii="Times New Roman" w:hAnsi="Times New Roman" w:cs="Times New Roman"/>
          <w:bCs/>
          <w:i/>
          <w:sz w:val="24"/>
          <w:szCs w:val="24"/>
        </w:rPr>
        <w:t>see</w:t>
      </w:r>
      <w:r w:rsidR="00943CD3" w:rsidRPr="00F655B0">
        <w:rPr>
          <w:rFonts w:ascii="Times New Roman" w:hAnsi="Times New Roman" w:cs="Times New Roman"/>
          <w:bCs/>
          <w:iCs/>
          <w:sz w:val="24"/>
          <w:szCs w:val="24"/>
        </w:rPr>
        <w:t xml:space="preserve"> Educ. Law §§ 3602-c(2)(b)(l), 4404(1); </w:t>
      </w:r>
      <w:r w:rsidR="00943CD3" w:rsidRPr="00F655B0">
        <w:rPr>
          <w:rFonts w:ascii="Times New Roman" w:hAnsi="Times New Roman" w:cs="Times New Roman"/>
          <w:bCs/>
          <w:i/>
          <w:sz w:val="24"/>
          <w:szCs w:val="24"/>
        </w:rPr>
        <w:t>Bd. of Educ. v. Munoz</w:t>
      </w:r>
      <w:r w:rsidR="00943CD3" w:rsidRPr="00F655B0">
        <w:rPr>
          <w:rFonts w:ascii="Times New Roman" w:hAnsi="Times New Roman" w:cs="Times New Roman"/>
          <w:bCs/>
          <w:iCs/>
          <w:sz w:val="24"/>
          <w:szCs w:val="24"/>
        </w:rPr>
        <w:t xml:space="preserve">, 772 N.Y.S.2d 147, 149 [App. Div. 4th Dept. 2004]). </w:t>
      </w:r>
      <w:r w:rsidR="00F655B0">
        <w:rPr>
          <w:rFonts w:ascii="Times New Roman" w:hAnsi="Times New Roman" w:cs="Times New Roman"/>
          <w:bCs/>
          <w:iCs/>
          <w:sz w:val="24"/>
          <w:szCs w:val="24"/>
        </w:rPr>
        <w:t xml:space="preserve"> </w:t>
      </w:r>
      <w:r w:rsidRPr="00F655B0">
        <w:rPr>
          <w:rFonts w:ascii="Times New Roman" w:hAnsi="Times New Roman" w:cs="Times New Roman"/>
          <w:bCs/>
          <w:iCs/>
          <w:sz w:val="24"/>
          <w:szCs w:val="24"/>
        </w:rPr>
        <w:t>As such, DOE’s motion to dismiss on the ground of subject matter jurisdiction is denied.</w:t>
      </w:r>
    </w:p>
    <w:p w14:paraId="1E4CAA5F" w14:textId="7111D7A0" w:rsidR="005C11C4" w:rsidRPr="00F655B0" w:rsidRDefault="005C11C4" w:rsidP="00F655B0">
      <w:pPr>
        <w:pStyle w:val="NoSpacing"/>
        <w:spacing w:before="120" w:line="360" w:lineRule="auto"/>
        <w:rPr>
          <w:rFonts w:ascii="Times New Roman" w:hAnsi="Times New Roman" w:cs="Times New Roman"/>
          <w:bCs/>
          <w:iCs/>
          <w:sz w:val="24"/>
          <w:szCs w:val="24"/>
          <w:u w:val="single"/>
        </w:rPr>
      </w:pPr>
      <w:r w:rsidRPr="00F655B0">
        <w:rPr>
          <w:rFonts w:ascii="Times New Roman" w:hAnsi="Times New Roman" w:cs="Times New Roman"/>
          <w:bCs/>
          <w:iCs/>
          <w:sz w:val="24"/>
          <w:szCs w:val="24"/>
          <w:u w:val="single"/>
        </w:rPr>
        <w:t>Ripeness</w:t>
      </w:r>
    </w:p>
    <w:p w14:paraId="4AA237A7" w14:textId="450EA80E" w:rsidR="00D23142" w:rsidRPr="00F655B0" w:rsidRDefault="008F48C0" w:rsidP="00F655B0">
      <w:pPr>
        <w:pStyle w:val="NoSpacing"/>
        <w:spacing w:line="360" w:lineRule="auto"/>
        <w:ind w:firstLine="720"/>
        <w:rPr>
          <w:rFonts w:ascii="Times New Roman" w:hAnsi="Times New Roman" w:cs="Times New Roman"/>
          <w:sz w:val="24"/>
          <w:szCs w:val="24"/>
        </w:rPr>
      </w:pPr>
      <w:r w:rsidRPr="00F655B0">
        <w:rPr>
          <w:rFonts w:ascii="Times New Roman" w:hAnsi="Times New Roman" w:cs="Times New Roman"/>
          <w:bCs/>
          <w:iCs/>
          <w:sz w:val="24"/>
          <w:szCs w:val="24"/>
        </w:rPr>
        <w:t>It is well settled that a claim that is not “ripe for judicial resolution" should be dismissed (</w:t>
      </w:r>
      <w:r w:rsidRPr="00F655B0">
        <w:rPr>
          <w:rFonts w:ascii="Times New Roman" w:hAnsi="Times New Roman" w:cs="Times New Roman"/>
          <w:bCs/>
          <w:i/>
          <w:sz w:val="24"/>
          <w:szCs w:val="24"/>
        </w:rPr>
        <w:t>Church of St. Paul &amp; St. Andrew v Barwick</w:t>
      </w:r>
      <w:r w:rsidRPr="00F655B0">
        <w:rPr>
          <w:rFonts w:ascii="Times New Roman" w:hAnsi="Times New Roman" w:cs="Times New Roman"/>
          <w:bCs/>
          <w:iCs/>
          <w:sz w:val="24"/>
          <w:szCs w:val="24"/>
        </w:rPr>
        <w:t>, 67 N</w:t>
      </w:r>
      <w:r w:rsidR="006D0392" w:rsidRPr="00F655B0">
        <w:rPr>
          <w:rFonts w:ascii="Times New Roman" w:hAnsi="Times New Roman" w:cs="Times New Roman"/>
          <w:bCs/>
          <w:iCs/>
          <w:sz w:val="24"/>
          <w:szCs w:val="24"/>
        </w:rPr>
        <w:t>.</w:t>
      </w:r>
      <w:r w:rsidRPr="00F655B0">
        <w:rPr>
          <w:rFonts w:ascii="Times New Roman" w:hAnsi="Times New Roman" w:cs="Times New Roman"/>
          <w:bCs/>
          <w:iCs/>
          <w:sz w:val="24"/>
          <w:szCs w:val="24"/>
        </w:rPr>
        <w:t>Y</w:t>
      </w:r>
      <w:r w:rsidR="006D0392" w:rsidRPr="00F655B0">
        <w:rPr>
          <w:rFonts w:ascii="Times New Roman" w:hAnsi="Times New Roman" w:cs="Times New Roman"/>
          <w:bCs/>
          <w:iCs/>
          <w:sz w:val="24"/>
          <w:szCs w:val="24"/>
        </w:rPr>
        <w:t>.</w:t>
      </w:r>
      <w:r w:rsidRPr="00F655B0">
        <w:rPr>
          <w:rFonts w:ascii="Times New Roman" w:hAnsi="Times New Roman" w:cs="Times New Roman"/>
          <w:bCs/>
          <w:iCs/>
          <w:sz w:val="24"/>
          <w:szCs w:val="24"/>
        </w:rPr>
        <w:t xml:space="preserve">2d 510, 518 [1986]; </w:t>
      </w:r>
      <w:r w:rsidRPr="00F655B0">
        <w:rPr>
          <w:rFonts w:ascii="Times New Roman" w:hAnsi="Times New Roman" w:cs="Times New Roman"/>
          <w:bCs/>
          <w:i/>
          <w:sz w:val="24"/>
          <w:szCs w:val="24"/>
        </w:rPr>
        <w:t>see Matter of Rosado-Ciriello v Board of Educ. of the Yonkers City Sch. Dist.</w:t>
      </w:r>
      <w:r w:rsidRPr="00F655B0">
        <w:rPr>
          <w:rFonts w:ascii="Times New Roman" w:hAnsi="Times New Roman" w:cs="Times New Roman"/>
          <w:bCs/>
          <w:iCs/>
          <w:sz w:val="24"/>
          <w:szCs w:val="24"/>
        </w:rPr>
        <w:t>, 219 A.D.3d 839, 840 [2d Dept 2023]).</w:t>
      </w:r>
      <w:r w:rsidR="00F655B0">
        <w:rPr>
          <w:rFonts w:ascii="Times New Roman" w:hAnsi="Times New Roman" w:cs="Times New Roman"/>
          <w:bCs/>
          <w:iCs/>
          <w:sz w:val="24"/>
          <w:szCs w:val="24"/>
        </w:rPr>
        <w:t xml:space="preserve"> </w:t>
      </w:r>
      <w:r w:rsidRPr="00F655B0">
        <w:rPr>
          <w:rFonts w:ascii="Times New Roman" w:hAnsi="Times New Roman" w:cs="Times New Roman"/>
          <w:bCs/>
          <w:iCs/>
          <w:sz w:val="24"/>
          <w:szCs w:val="24"/>
        </w:rPr>
        <w:t xml:space="preserve"> A claim is not “ripe for controversy” where it is based on an injury which might never occur or is “contingent upon events which may not come to pass” (</w:t>
      </w:r>
      <w:r w:rsidRPr="00F655B0">
        <w:rPr>
          <w:rFonts w:ascii="Times New Roman" w:hAnsi="Times New Roman" w:cs="Times New Roman"/>
          <w:bCs/>
          <w:i/>
          <w:sz w:val="24"/>
          <w:szCs w:val="24"/>
        </w:rPr>
        <w:t>id.</w:t>
      </w:r>
      <w:r w:rsidRPr="00F655B0">
        <w:rPr>
          <w:rFonts w:ascii="Times New Roman" w:hAnsi="Times New Roman" w:cs="Times New Roman"/>
          <w:bCs/>
          <w:iCs/>
          <w:sz w:val="24"/>
          <w:szCs w:val="24"/>
        </w:rPr>
        <w:t xml:space="preserve"> at 518-520; </w:t>
      </w:r>
      <w:r w:rsidRPr="00F655B0">
        <w:rPr>
          <w:rFonts w:ascii="Times New Roman" w:hAnsi="Times New Roman" w:cs="Times New Roman"/>
          <w:bCs/>
          <w:i/>
          <w:sz w:val="24"/>
          <w:szCs w:val="24"/>
        </w:rPr>
        <w:t>see also Bolt Assocs. v Diamonds-In-The-Roth</w:t>
      </w:r>
      <w:r w:rsidRPr="00F655B0">
        <w:rPr>
          <w:rFonts w:ascii="Times New Roman" w:hAnsi="Times New Roman" w:cs="Times New Roman"/>
          <w:bCs/>
          <w:iCs/>
          <w:sz w:val="24"/>
          <w:szCs w:val="24"/>
        </w:rPr>
        <w:t>, 119 A</w:t>
      </w:r>
      <w:r w:rsidR="006D0392" w:rsidRPr="00F655B0">
        <w:rPr>
          <w:rFonts w:ascii="Times New Roman" w:hAnsi="Times New Roman" w:cs="Times New Roman"/>
          <w:bCs/>
          <w:iCs/>
          <w:sz w:val="24"/>
          <w:szCs w:val="24"/>
        </w:rPr>
        <w:t>.</w:t>
      </w:r>
      <w:r w:rsidRPr="00F655B0">
        <w:rPr>
          <w:rFonts w:ascii="Times New Roman" w:hAnsi="Times New Roman" w:cs="Times New Roman"/>
          <w:bCs/>
          <w:iCs/>
          <w:sz w:val="24"/>
          <w:szCs w:val="24"/>
        </w:rPr>
        <w:t>D</w:t>
      </w:r>
      <w:r w:rsidR="006D0392" w:rsidRPr="00F655B0">
        <w:rPr>
          <w:rFonts w:ascii="Times New Roman" w:hAnsi="Times New Roman" w:cs="Times New Roman"/>
          <w:bCs/>
          <w:iCs/>
          <w:sz w:val="24"/>
          <w:szCs w:val="24"/>
        </w:rPr>
        <w:t>.</w:t>
      </w:r>
      <w:r w:rsidRPr="00F655B0">
        <w:rPr>
          <w:rFonts w:ascii="Times New Roman" w:hAnsi="Times New Roman" w:cs="Times New Roman"/>
          <w:bCs/>
          <w:iCs/>
          <w:sz w:val="24"/>
          <w:szCs w:val="24"/>
        </w:rPr>
        <w:t>2d 524, 525 [1</w:t>
      </w:r>
      <w:r w:rsidR="006D0392" w:rsidRPr="00F655B0">
        <w:rPr>
          <w:rFonts w:ascii="Times New Roman" w:hAnsi="Times New Roman" w:cs="Times New Roman"/>
          <w:bCs/>
          <w:iCs/>
          <w:sz w:val="24"/>
          <w:szCs w:val="24"/>
        </w:rPr>
        <w:t>st</w:t>
      </w:r>
      <w:r w:rsidRPr="00F655B0">
        <w:rPr>
          <w:rFonts w:ascii="Times New Roman" w:hAnsi="Times New Roman" w:cs="Times New Roman"/>
          <w:bCs/>
          <w:iCs/>
          <w:sz w:val="24"/>
          <w:szCs w:val="24"/>
        </w:rPr>
        <w:t xml:space="preserve"> Dept 1985] [the Court held that a justiciable controversy exists where there is an actual controversy affecting the parties' rights]).</w:t>
      </w:r>
      <w:r w:rsidR="00F655B0">
        <w:rPr>
          <w:rFonts w:ascii="Times New Roman" w:hAnsi="Times New Roman" w:cs="Times New Roman"/>
          <w:bCs/>
          <w:iCs/>
          <w:sz w:val="24"/>
          <w:szCs w:val="24"/>
        </w:rPr>
        <w:t xml:space="preserve">  </w:t>
      </w:r>
      <w:r w:rsidR="001723F0" w:rsidRPr="00F655B0">
        <w:rPr>
          <w:rFonts w:ascii="Times New Roman" w:hAnsi="Times New Roman" w:cs="Times New Roman"/>
          <w:sz w:val="24"/>
          <w:szCs w:val="24"/>
        </w:rPr>
        <w:t xml:space="preserve">Matters </w:t>
      </w:r>
      <w:r w:rsidR="00F655B0">
        <w:rPr>
          <w:rFonts w:ascii="Times New Roman" w:hAnsi="Times New Roman" w:cs="Times New Roman"/>
          <w:sz w:val="24"/>
          <w:szCs w:val="24"/>
        </w:rPr>
        <w:t>are to</w:t>
      </w:r>
      <w:r w:rsidR="001723F0" w:rsidRPr="00F655B0">
        <w:rPr>
          <w:rFonts w:ascii="Times New Roman" w:hAnsi="Times New Roman" w:cs="Times New Roman"/>
          <w:sz w:val="24"/>
          <w:szCs w:val="24"/>
        </w:rPr>
        <w:t xml:space="preserve"> be resolved </w:t>
      </w:r>
      <w:r w:rsidR="00F655B0">
        <w:rPr>
          <w:rFonts w:ascii="Times New Roman" w:hAnsi="Times New Roman" w:cs="Times New Roman"/>
          <w:sz w:val="24"/>
          <w:szCs w:val="24"/>
        </w:rPr>
        <w:t>pursuant to the</w:t>
      </w:r>
      <w:r w:rsidR="001723F0" w:rsidRPr="00F655B0">
        <w:rPr>
          <w:rFonts w:ascii="Times New Roman" w:hAnsi="Times New Roman" w:cs="Times New Roman"/>
          <w:sz w:val="24"/>
          <w:szCs w:val="24"/>
        </w:rPr>
        <w:t xml:space="preserve"> “principle that, at all times, the dispute before the court must be real and live, not feigned, academic, or conjectural" (</w:t>
      </w:r>
      <w:r w:rsidR="001723F0" w:rsidRPr="00F655B0">
        <w:rPr>
          <w:rFonts w:ascii="Times New Roman" w:hAnsi="Times New Roman" w:cs="Times New Roman"/>
          <w:i/>
          <w:iCs/>
          <w:sz w:val="24"/>
          <w:szCs w:val="24"/>
        </w:rPr>
        <w:t>Lillbask v. State of Conn. Dep't of Educ.</w:t>
      </w:r>
      <w:r w:rsidR="001723F0" w:rsidRPr="00F655B0">
        <w:rPr>
          <w:rFonts w:ascii="Times New Roman" w:hAnsi="Times New Roman" w:cs="Times New Roman"/>
          <w:sz w:val="24"/>
          <w:szCs w:val="24"/>
        </w:rPr>
        <w:t>, 397 F.3d 77, 84 [2d Cir. 2005]).</w:t>
      </w:r>
      <w:r w:rsidR="001723F0" w:rsidRPr="00F655B0">
        <w:rPr>
          <w:rStyle w:val="FootnoteReference"/>
          <w:rFonts w:ascii="Times New Roman" w:hAnsi="Times New Roman" w:cs="Times New Roman"/>
          <w:sz w:val="24"/>
          <w:szCs w:val="24"/>
        </w:rPr>
        <w:footnoteReference w:id="2"/>
      </w:r>
    </w:p>
    <w:p w14:paraId="1B1C8CE6" w14:textId="2900ACB6" w:rsidR="003353C6" w:rsidRPr="00F655B0" w:rsidRDefault="008F48C0" w:rsidP="009A6294">
      <w:pPr>
        <w:pStyle w:val="NoSpacing"/>
        <w:spacing w:line="360" w:lineRule="auto"/>
        <w:ind w:firstLine="720"/>
        <w:rPr>
          <w:rFonts w:ascii="Times New Roman" w:hAnsi="Times New Roman" w:cs="Times New Roman"/>
          <w:bCs/>
          <w:iCs/>
          <w:sz w:val="24"/>
          <w:szCs w:val="24"/>
        </w:rPr>
      </w:pPr>
      <w:r w:rsidRPr="00F655B0">
        <w:rPr>
          <w:rFonts w:ascii="Times New Roman" w:hAnsi="Times New Roman" w:cs="Times New Roman"/>
          <w:bCs/>
          <w:iCs/>
          <w:sz w:val="24"/>
          <w:szCs w:val="24"/>
        </w:rPr>
        <w:t xml:space="preserve">In the instant matter, it is undisputed that the parents’ claims for the 2024-2025 school year are based upon the DOE’s alleged failure to implement an educational program for the 10-month school year starting in September 2024. </w:t>
      </w:r>
      <w:r w:rsidR="00F655B0">
        <w:rPr>
          <w:rFonts w:ascii="Times New Roman" w:hAnsi="Times New Roman" w:cs="Times New Roman"/>
          <w:bCs/>
          <w:iCs/>
          <w:sz w:val="24"/>
          <w:szCs w:val="24"/>
        </w:rPr>
        <w:t xml:space="preserve"> </w:t>
      </w:r>
      <w:r w:rsidR="00382E89" w:rsidRPr="00F655B0">
        <w:rPr>
          <w:rFonts w:ascii="Times New Roman" w:hAnsi="Times New Roman" w:cs="Times New Roman"/>
          <w:bCs/>
          <w:iCs/>
          <w:sz w:val="24"/>
          <w:szCs w:val="24"/>
        </w:rPr>
        <w:t xml:space="preserve">The DPC was filed on July 15, 2024, almost two months </w:t>
      </w:r>
      <w:r w:rsidR="00382E89" w:rsidRPr="00F655B0">
        <w:rPr>
          <w:rFonts w:ascii="Times New Roman" w:hAnsi="Times New Roman" w:cs="Times New Roman"/>
          <w:bCs/>
          <w:i/>
          <w:sz w:val="24"/>
          <w:szCs w:val="24"/>
        </w:rPr>
        <w:t>prior</w:t>
      </w:r>
      <w:r w:rsidR="00382E89" w:rsidRPr="00F655B0">
        <w:rPr>
          <w:rFonts w:ascii="Times New Roman" w:hAnsi="Times New Roman" w:cs="Times New Roman"/>
          <w:bCs/>
          <w:iCs/>
          <w:sz w:val="24"/>
          <w:szCs w:val="24"/>
        </w:rPr>
        <w:t xml:space="preserve"> to the start of the school year, and before Student would have been entitled to the services outlined in the </w:t>
      </w:r>
      <w:r w:rsidR="00382E89" w:rsidRPr="00F655B0">
        <w:rPr>
          <w:rFonts w:ascii="Times New Roman" w:hAnsi="Times New Roman" w:cs="Times New Roman"/>
          <w:bCs/>
          <w:iCs/>
          <w:sz w:val="24"/>
          <w:szCs w:val="24"/>
        </w:rPr>
        <w:lastRenderedPageBreak/>
        <w:t>educational program</w:t>
      </w:r>
      <w:r w:rsidR="00F655B0">
        <w:rPr>
          <w:rFonts w:ascii="Times New Roman" w:hAnsi="Times New Roman" w:cs="Times New Roman"/>
          <w:bCs/>
          <w:iCs/>
          <w:sz w:val="24"/>
          <w:szCs w:val="24"/>
        </w:rPr>
        <w:t>, and before the DOE would have been responsible for the provision of services for that school year</w:t>
      </w:r>
      <w:r w:rsidR="00382E89" w:rsidRPr="00F655B0">
        <w:rPr>
          <w:rFonts w:ascii="Times New Roman" w:hAnsi="Times New Roman" w:cs="Times New Roman"/>
          <w:bCs/>
          <w:iCs/>
          <w:sz w:val="24"/>
          <w:szCs w:val="24"/>
        </w:rPr>
        <w:t xml:space="preserve">. </w:t>
      </w:r>
      <w:r w:rsidR="00F655B0">
        <w:rPr>
          <w:rFonts w:ascii="Times New Roman" w:hAnsi="Times New Roman" w:cs="Times New Roman"/>
          <w:bCs/>
          <w:iCs/>
          <w:sz w:val="24"/>
          <w:szCs w:val="24"/>
        </w:rPr>
        <w:t xml:space="preserve"> </w:t>
      </w:r>
      <w:r w:rsidR="00611045" w:rsidRPr="00F655B0">
        <w:rPr>
          <w:rFonts w:ascii="Times New Roman" w:hAnsi="Times New Roman" w:cs="Times New Roman"/>
          <w:bCs/>
          <w:iCs/>
          <w:sz w:val="24"/>
          <w:szCs w:val="24"/>
        </w:rPr>
        <w:t>T</w:t>
      </w:r>
      <w:r w:rsidR="00F655B0">
        <w:rPr>
          <w:rFonts w:ascii="Times New Roman" w:hAnsi="Times New Roman" w:cs="Times New Roman"/>
          <w:bCs/>
          <w:iCs/>
          <w:sz w:val="24"/>
          <w:szCs w:val="24"/>
        </w:rPr>
        <w:t>he claim for the 2024-2025 school year, therefore, was “conjectural” (</w:t>
      </w:r>
      <w:r w:rsidR="00F655B0">
        <w:rPr>
          <w:rFonts w:ascii="Times New Roman" w:hAnsi="Times New Roman" w:cs="Times New Roman"/>
          <w:bCs/>
          <w:i/>
          <w:sz w:val="24"/>
          <w:szCs w:val="24"/>
        </w:rPr>
        <w:t>Lillbask</w:t>
      </w:r>
      <w:r w:rsidR="00F655B0">
        <w:rPr>
          <w:rFonts w:ascii="Times New Roman" w:hAnsi="Times New Roman" w:cs="Times New Roman"/>
          <w:bCs/>
          <w:iCs/>
          <w:sz w:val="24"/>
          <w:szCs w:val="24"/>
        </w:rPr>
        <w:t xml:space="preserve">, </w:t>
      </w:r>
      <w:r w:rsidR="00F655B0">
        <w:rPr>
          <w:rFonts w:ascii="Times New Roman" w:hAnsi="Times New Roman" w:cs="Times New Roman"/>
          <w:bCs/>
          <w:i/>
          <w:sz w:val="24"/>
          <w:szCs w:val="24"/>
        </w:rPr>
        <w:t>supra</w:t>
      </w:r>
      <w:r w:rsidR="00F655B0">
        <w:rPr>
          <w:rFonts w:ascii="Times New Roman" w:hAnsi="Times New Roman" w:cs="Times New Roman"/>
          <w:bCs/>
          <w:iCs/>
          <w:sz w:val="24"/>
          <w:szCs w:val="24"/>
        </w:rPr>
        <w:t>.) at the time the DPC was filed.  This is premature and requires the claim to be refiled,</w:t>
      </w:r>
      <w:r w:rsidR="00611045" w:rsidRPr="00F655B0">
        <w:rPr>
          <w:rFonts w:ascii="Times New Roman" w:hAnsi="Times New Roman" w:cs="Times New Roman"/>
          <w:bCs/>
          <w:iCs/>
          <w:sz w:val="24"/>
          <w:szCs w:val="24"/>
        </w:rPr>
        <w:t xml:space="preserve"> regardless of the effect of </w:t>
      </w:r>
      <w:r w:rsidR="00C63E1C" w:rsidRPr="00F655B0">
        <w:rPr>
          <w:rFonts w:ascii="Times New Roman" w:hAnsi="Times New Roman" w:cs="Times New Roman"/>
          <w:bCs/>
          <w:iCs/>
          <w:sz w:val="24"/>
          <w:szCs w:val="24"/>
        </w:rPr>
        <w:t xml:space="preserve">the recent change in </w:t>
      </w:r>
      <w:r w:rsidR="00611045" w:rsidRPr="00F655B0">
        <w:rPr>
          <w:rFonts w:ascii="Times New Roman" w:hAnsi="Times New Roman" w:cs="Times New Roman"/>
          <w:bCs/>
          <w:iCs/>
          <w:sz w:val="24"/>
          <w:szCs w:val="24"/>
        </w:rPr>
        <w:t xml:space="preserve">the </w:t>
      </w:r>
      <w:r w:rsidR="00C63E1C" w:rsidRPr="00F655B0">
        <w:rPr>
          <w:rFonts w:ascii="Times New Roman" w:hAnsi="Times New Roman" w:cs="Times New Roman"/>
          <w:bCs/>
          <w:iCs/>
          <w:sz w:val="24"/>
          <w:szCs w:val="24"/>
        </w:rPr>
        <w:t>regulation</w:t>
      </w:r>
      <w:r w:rsidR="00611045" w:rsidRPr="00F655B0">
        <w:rPr>
          <w:rFonts w:ascii="Times New Roman" w:hAnsi="Times New Roman" w:cs="Times New Roman"/>
          <w:bCs/>
          <w:iCs/>
          <w:sz w:val="24"/>
          <w:szCs w:val="24"/>
        </w:rPr>
        <w:t xml:space="preserve">s </w:t>
      </w:r>
      <w:r w:rsidR="001716C6" w:rsidRPr="00F655B0">
        <w:rPr>
          <w:rFonts w:ascii="Times New Roman" w:hAnsi="Times New Roman" w:cs="Times New Roman"/>
          <w:bCs/>
          <w:iCs/>
          <w:sz w:val="24"/>
          <w:szCs w:val="24"/>
        </w:rPr>
        <w:t>noted above</w:t>
      </w:r>
      <w:r w:rsidR="00C63E1C" w:rsidRPr="00F655B0">
        <w:rPr>
          <w:rFonts w:ascii="Times New Roman" w:hAnsi="Times New Roman" w:cs="Times New Roman"/>
          <w:bCs/>
          <w:iCs/>
          <w:sz w:val="24"/>
          <w:szCs w:val="24"/>
        </w:rPr>
        <w:t>.</w:t>
      </w:r>
      <w:r w:rsidR="009A6294" w:rsidRPr="00F655B0">
        <w:rPr>
          <w:rFonts w:ascii="Times New Roman" w:hAnsi="Times New Roman" w:cs="Times New Roman"/>
          <w:bCs/>
          <w:iCs/>
          <w:sz w:val="24"/>
          <w:szCs w:val="24"/>
        </w:rPr>
        <w:t xml:space="preserve">  Accordingly, </w:t>
      </w:r>
      <w:bookmarkStart w:id="0" w:name="_Hlk116981198"/>
      <w:r w:rsidR="009A6294" w:rsidRPr="00F655B0">
        <w:rPr>
          <w:rFonts w:ascii="Times New Roman" w:hAnsi="Times New Roman" w:cs="Times New Roman"/>
          <w:bCs/>
          <w:iCs/>
          <w:sz w:val="24"/>
          <w:szCs w:val="24"/>
        </w:rPr>
        <w:t xml:space="preserve">the </w:t>
      </w:r>
      <w:r w:rsidR="008F4A53" w:rsidRPr="00F655B0">
        <w:rPr>
          <w:rFonts w:ascii="Times New Roman" w:hAnsi="Times New Roman" w:cs="Times New Roman"/>
          <w:bCs/>
          <w:iCs/>
          <w:sz w:val="24"/>
          <w:szCs w:val="24"/>
        </w:rPr>
        <w:t>Parent’s</w:t>
      </w:r>
      <w:r w:rsidRPr="00F655B0">
        <w:rPr>
          <w:rFonts w:ascii="Times New Roman" w:hAnsi="Times New Roman" w:cs="Times New Roman"/>
          <w:bCs/>
          <w:iCs/>
          <w:sz w:val="24"/>
          <w:szCs w:val="24"/>
        </w:rPr>
        <w:t xml:space="preserve"> claims for the 2024-2025 school year are not ripe for adjudication</w:t>
      </w:r>
      <w:r w:rsidR="009A6294" w:rsidRPr="00F655B0">
        <w:rPr>
          <w:rFonts w:ascii="Times New Roman" w:hAnsi="Times New Roman" w:cs="Times New Roman"/>
          <w:bCs/>
          <w:iCs/>
          <w:sz w:val="24"/>
          <w:szCs w:val="24"/>
        </w:rPr>
        <w:t xml:space="preserve"> and that portion of the DPC requesting the implementation and funding of services for the 2024-2025 school year must be </w:t>
      </w:r>
      <w:r w:rsidRPr="00F655B0">
        <w:rPr>
          <w:rFonts w:ascii="Times New Roman" w:hAnsi="Times New Roman" w:cs="Times New Roman"/>
          <w:bCs/>
          <w:iCs/>
          <w:sz w:val="24"/>
          <w:szCs w:val="24"/>
        </w:rPr>
        <w:t>dismissed</w:t>
      </w:r>
      <w:r w:rsidR="009A6294" w:rsidRPr="00F655B0">
        <w:rPr>
          <w:rFonts w:ascii="Times New Roman" w:hAnsi="Times New Roman" w:cs="Times New Roman"/>
          <w:bCs/>
          <w:iCs/>
          <w:sz w:val="24"/>
          <w:szCs w:val="24"/>
        </w:rPr>
        <w:t>,</w:t>
      </w:r>
      <w:r w:rsidRPr="00F655B0">
        <w:rPr>
          <w:rFonts w:ascii="Times New Roman" w:hAnsi="Times New Roman" w:cs="Times New Roman"/>
          <w:bCs/>
          <w:iCs/>
          <w:sz w:val="24"/>
          <w:szCs w:val="24"/>
        </w:rPr>
        <w:t xml:space="preserve"> without prejudice.</w:t>
      </w:r>
    </w:p>
    <w:bookmarkEnd w:id="0"/>
    <w:p w14:paraId="65A072A9" w14:textId="77777777" w:rsidR="003353C6" w:rsidRDefault="003353C6" w:rsidP="003353C6">
      <w:pPr>
        <w:pStyle w:val="Standard"/>
        <w:widowControl w:val="0"/>
        <w:spacing w:line="360" w:lineRule="auto"/>
        <w:rPr>
          <w:rFonts w:ascii="Garamond" w:hAnsi="Garamond"/>
          <w:bCs/>
          <w:iCs/>
          <w:szCs w:val="24"/>
        </w:rPr>
      </w:pPr>
    </w:p>
    <w:sectPr w:rsidR="003353C6" w:rsidSect="001211D3">
      <w:footerReference w:type="default" r:id="rId8"/>
      <w:pgSz w:w="12240" w:h="15840"/>
      <w:pgMar w:top="63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7C91C" w14:textId="77777777" w:rsidR="00595AB9" w:rsidRDefault="00595AB9" w:rsidP="00C344B4">
      <w:r>
        <w:separator/>
      </w:r>
    </w:p>
  </w:endnote>
  <w:endnote w:type="continuationSeparator" w:id="0">
    <w:p w14:paraId="6E3EE3CB" w14:textId="77777777" w:rsidR="00595AB9" w:rsidRDefault="00595AB9" w:rsidP="00C34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B5E53" w14:textId="77777777" w:rsidR="003840F6" w:rsidRDefault="003840F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F5F2524" w14:textId="77777777" w:rsidR="003840F6" w:rsidRDefault="003840F6" w:rsidP="003840F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50D10" w14:textId="77777777" w:rsidR="00595AB9" w:rsidRDefault="00595AB9" w:rsidP="00C344B4">
      <w:r>
        <w:separator/>
      </w:r>
    </w:p>
  </w:footnote>
  <w:footnote w:type="continuationSeparator" w:id="0">
    <w:p w14:paraId="4E9D1CD4" w14:textId="77777777" w:rsidR="00595AB9" w:rsidRDefault="00595AB9" w:rsidP="00C344B4">
      <w:r>
        <w:continuationSeparator/>
      </w:r>
    </w:p>
  </w:footnote>
  <w:footnote w:id="1">
    <w:p w14:paraId="1935B670" w14:textId="77777777" w:rsidR="00821945" w:rsidRPr="00306E9A" w:rsidRDefault="00821945" w:rsidP="00821945">
      <w:pPr>
        <w:pStyle w:val="FootnoteText"/>
        <w:spacing w:after="60"/>
      </w:pPr>
      <w:r>
        <w:rPr>
          <w:rStyle w:val="FootnoteReference"/>
        </w:rPr>
        <w:footnoteRef/>
      </w:r>
      <w:r>
        <w:t xml:space="preserve"> </w:t>
      </w:r>
      <w:r>
        <w:rPr>
          <w:i/>
          <w:iCs/>
        </w:rPr>
        <w:t>Adarand</w:t>
      </w:r>
      <w:r>
        <w:t xml:space="preserve"> focused its analysis on the sibling justiciability doctrine of standing; however, I find it was intended to be equally appliable to all justiciability questions, including ripeness.  This is supported in no small part by the Supreme Court’s reference in </w:t>
      </w:r>
      <w:r w:rsidRPr="00E90764">
        <w:rPr>
          <w:i/>
          <w:iCs/>
        </w:rPr>
        <w:t>Adarand</w:t>
      </w:r>
      <w:r>
        <w:t xml:space="preserve"> to the </w:t>
      </w:r>
      <w:r>
        <w:rPr>
          <w:i/>
          <w:iCs/>
        </w:rPr>
        <w:t>Steel Co.</w:t>
      </w:r>
      <w:r>
        <w:t xml:space="preserve"> case, which found that the Court would “notice the defect” </w:t>
      </w:r>
      <w:r>
        <w:rPr>
          <w:i/>
          <w:iCs/>
        </w:rPr>
        <w:t>whenever</w:t>
      </w:r>
      <w:r>
        <w:t xml:space="preserve"> a “lower court was without jurisdiction” (regardless of the aspect of jurisdiction), and even if the defect was not raised by the parties (</w:t>
      </w:r>
      <w:r>
        <w:rPr>
          <w:i/>
          <w:iCs/>
        </w:rPr>
        <w:t>Adarand</w:t>
      </w:r>
      <w:r>
        <w:t xml:space="preserve">, </w:t>
      </w:r>
      <w:r>
        <w:rPr>
          <w:i/>
          <w:iCs/>
        </w:rPr>
        <w:t>supra</w:t>
      </w:r>
      <w:r>
        <w:t xml:space="preserve">. [internal citation and quotation omitted]). </w:t>
      </w:r>
    </w:p>
  </w:footnote>
  <w:footnote w:id="2">
    <w:p w14:paraId="5E5FD5B1" w14:textId="6B642608" w:rsidR="001723F0" w:rsidRPr="001723F0" w:rsidRDefault="001723F0" w:rsidP="001723F0">
      <w:pPr>
        <w:pStyle w:val="FootnoteText"/>
        <w:spacing w:after="60"/>
      </w:pPr>
      <w:r>
        <w:rPr>
          <w:rStyle w:val="FootnoteReference"/>
        </w:rPr>
        <w:footnoteRef/>
      </w:r>
      <w:r>
        <w:t xml:space="preserve"> </w:t>
      </w:r>
      <w:r w:rsidRPr="001723F0">
        <w:rPr>
          <w:i/>
          <w:iCs/>
        </w:rPr>
        <w:t>Citing Russman v. Board of Educ.</w:t>
      </w:r>
      <w:r w:rsidRPr="001723F0">
        <w:t>, 260 F.3d 114, 118 (2d Cir. 2001)</w:t>
      </w:r>
      <w:r>
        <w:t>.  I note that</w:t>
      </w:r>
      <w:r w:rsidR="00611045">
        <w:t xml:space="preserve"> although</w:t>
      </w:r>
      <w:r>
        <w:t xml:space="preserve"> </w:t>
      </w:r>
      <w:r>
        <w:rPr>
          <w:i/>
          <w:iCs/>
        </w:rPr>
        <w:t>Lillbask</w:t>
      </w:r>
      <w:r>
        <w:t xml:space="preserve"> was</w:t>
      </w:r>
      <w:r w:rsidR="00611045">
        <w:t xml:space="preserve"> focused on</w:t>
      </w:r>
      <w:r>
        <w:t xml:space="preserve"> mootness</w:t>
      </w:r>
      <w:r w:rsidR="00611045">
        <w:t xml:space="preserve">, </w:t>
      </w:r>
      <w:r w:rsidR="00261D10">
        <w:t xml:space="preserve">its </w:t>
      </w:r>
      <w:r w:rsidR="00611045">
        <w:t>holding</w:t>
      </w:r>
      <w:r w:rsidR="00261D10">
        <w:t xml:space="preserve"> is</w:t>
      </w:r>
      <w:r w:rsidR="00611045">
        <w:t xml:space="preserve"> </w:t>
      </w:r>
      <w:r>
        <w:t>equally</w:t>
      </w:r>
      <w:r w:rsidR="00611045">
        <w:t xml:space="preserve"> applicable</w:t>
      </w:r>
      <w:r>
        <w:t xml:space="preserve"> </w:t>
      </w:r>
      <w:r w:rsidR="00611045">
        <w:t xml:space="preserve">here, because </w:t>
      </w:r>
      <w:r>
        <w:t xml:space="preserve">ripeness and mootness </w:t>
      </w:r>
      <w:r w:rsidR="00611045">
        <w:t>regard the</w:t>
      </w:r>
      <w:r>
        <w:t xml:space="preserve"> justiciability</w:t>
      </w:r>
      <w:r w:rsidR="00611045">
        <w:t xml:space="preserve"> issue of </w:t>
      </w:r>
      <w:r w:rsidRPr="00611045">
        <w:rPr>
          <w:i/>
          <w:iCs/>
        </w:rPr>
        <w:t>when</w:t>
      </w:r>
      <w:r>
        <w:t xml:space="preserve"> a case or controversy may be heard and decided</w:t>
      </w:r>
      <w:r w:rsidR="00611045">
        <w:t xml:space="preserve">, </w:t>
      </w:r>
      <w:r w:rsidR="00B868A6">
        <w:t>with both doctrines serving</w:t>
      </w:r>
      <w:r w:rsidR="00E175FF">
        <w:t xml:space="preserve"> to</w:t>
      </w:r>
      <w:r w:rsidR="00611045">
        <w:t xml:space="preserve"> ensure that disputes</w:t>
      </w:r>
      <w:r w:rsidR="0049715D">
        <w:t xml:space="preserve"> are resolved only</w:t>
      </w:r>
      <w:r w:rsidR="00611045">
        <w:t xml:space="preserve"> when they are actually in controversy, </w:t>
      </w:r>
      <w:r w:rsidR="00611045" w:rsidRPr="00611045">
        <w:rPr>
          <w:i/>
          <w:iCs/>
        </w:rPr>
        <w:t>i.e.</w:t>
      </w:r>
      <w:r w:rsidR="00611045">
        <w:t>, from filing to resolution</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7D921A"/>
    <w:multiLevelType w:val="hybridMultilevel"/>
    <w:tmpl w:val="7204A19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60E3154"/>
    <w:multiLevelType w:val="hybridMultilevel"/>
    <w:tmpl w:val="E0ED79E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8F45F0"/>
    <w:multiLevelType w:val="hybridMultilevel"/>
    <w:tmpl w:val="C25280AA"/>
    <w:lvl w:ilvl="0" w:tplc="7C7C491C">
      <w:start w:val="1"/>
      <w:numFmt w:val="decimal"/>
      <w:lvlText w:val="%1."/>
      <w:lvlJc w:val="left"/>
      <w:pPr>
        <w:ind w:left="810" w:hanging="72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51E74"/>
    <w:multiLevelType w:val="hybridMultilevel"/>
    <w:tmpl w:val="23560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1">
    <w:nsid w:val="1A665E98"/>
    <w:multiLevelType w:val="hybridMultilevel"/>
    <w:tmpl w:val="65F02962"/>
    <w:lvl w:ilvl="0" w:tplc="28C22726">
      <w:start w:val="1"/>
      <w:numFmt w:val="upperRoman"/>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AA2BD3"/>
    <w:multiLevelType w:val="hybridMultilevel"/>
    <w:tmpl w:val="3D881D1C"/>
    <w:lvl w:ilvl="0" w:tplc="D2442E10">
      <w:start w:val="1"/>
      <w:numFmt w:val="bullet"/>
      <w:lvlText w:val=""/>
      <w:lvlJc w:val="left"/>
      <w:pPr>
        <w:tabs>
          <w:tab w:val="num" w:pos="1080"/>
        </w:tabs>
        <w:ind w:left="1080" w:hanging="72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Wingdings"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BF42A2"/>
    <w:multiLevelType w:val="hybridMultilevel"/>
    <w:tmpl w:val="EBD61A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F2D8E"/>
    <w:multiLevelType w:val="hybridMultilevel"/>
    <w:tmpl w:val="E2D482A6"/>
    <w:lvl w:ilvl="0" w:tplc="8152AC1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8A34A4"/>
    <w:multiLevelType w:val="hybridMultilevel"/>
    <w:tmpl w:val="DDFC86D6"/>
    <w:lvl w:ilvl="0" w:tplc="2ECCB504">
      <w:numFmt w:val="bullet"/>
      <w:lvlText w:val="-"/>
      <w:lvlJc w:val="left"/>
      <w:pPr>
        <w:ind w:left="720" w:hanging="360"/>
      </w:pPr>
      <w:rPr>
        <w:rFonts w:ascii="Aptos" w:eastAsia="Aptos" w:hAnsi="Apto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9F3714A"/>
    <w:multiLevelType w:val="hybridMultilevel"/>
    <w:tmpl w:val="E72C3E8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0" w15:restartNumberingAfterBreak="1">
    <w:nsid w:val="593D3204"/>
    <w:multiLevelType w:val="hybridMultilevel"/>
    <w:tmpl w:val="DF3E002A"/>
    <w:lvl w:ilvl="0" w:tplc="9A4270AA">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1" w15:restartNumberingAfterBreak="0">
    <w:nsid w:val="61F8312B"/>
    <w:multiLevelType w:val="hybridMultilevel"/>
    <w:tmpl w:val="28E2CDA6"/>
    <w:lvl w:ilvl="0" w:tplc="F04C4D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FC7069C"/>
    <w:multiLevelType w:val="hybridMultilevel"/>
    <w:tmpl w:val="09BA7920"/>
    <w:lvl w:ilvl="0" w:tplc="8152AC1A">
      <w:start w:val="1"/>
      <w:numFmt w:val="decimal"/>
      <w:lvlText w:val="%1."/>
      <w:lvlJc w:val="left"/>
      <w:pPr>
        <w:ind w:left="1440" w:hanging="720"/>
      </w:pPr>
      <w:rPr>
        <w:rFonts w:hint="default"/>
      </w:rPr>
    </w:lvl>
    <w:lvl w:ilvl="1" w:tplc="30E05DD6">
      <w:start w:val="1"/>
      <w:numFmt w:val="lowerLetter"/>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1">
    <w:nsid w:val="7BAC5455"/>
    <w:multiLevelType w:val="hybridMultilevel"/>
    <w:tmpl w:val="006A471E"/>
    <w:lvl w:ilvl="0" w:tplc="15CA6A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B91C4F"/>
    <w:multiLevelType w:val="hybridMultilevel"/>
    <w:tmpl w:val="6F9AE8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5591488">
    <w:abstractNumId w:val="11"/>
  </w:num>
  <w:num w:numId="2" w16cid:durableId="1956403219">
    <w:abstractNumId w:val="5"/>
  </w:num>
  <w:num w:numId="3" w16cid:durableId="203441791">
    <w:abstractNumId w:val="5"/>
  </w:num>
  <w:num w:numId="4" w16cid:durableId="1666586972">
    <w:abstractNumId w:val="9"/>
  </w:num>
  <w:num w:numId="5" w16cid:durableId="1148595131">
    <w:abstractNumId w:val="7"/>
  </w:num>
  <w:num w:numId="6" w16cid:durableId="465126148">
    <w:abstractNumId w:val="12"/>
  </w:num>
  <w:num w:numId="7" w16cid:durableId="1576041568">
    <w:abstractNumId w:val="2"/>
  </w:num>
  <w:num w:numId="8" w16cid:durableId="375935418">
    <w:abstractNumId w:val="1"/>
  </w:num>
  <w:num w:numId="9" w16cid:durableId="1817529775">
    <w:abstractNumId w:val="0"/>
  </w:num>
  <w:num w:numId="10" w16cid:durableId="129253088">
    <w:abstractNumId w:val="3"/>
  </w:num>
  <w:num w:numId="11" w16cid:durableId="1123963050">
    <w:abstractNumId w:val="6"/>
  </w:num>
  <w:num w:numId="12" w16cid:durableId="1137725295">
    <w:abstractNumId w:val="14"/>
  </w:num>
  <w:num w:numId="13" w16cid:durableId="1126698977">
    <w:abstractNumId w:val="8"/>
  </w:num>
  <w:num w:numId="14" w16cid:durableId="1959407199">
    <w:abstractNumId w:val="13"/>
  </w:num>
  <w:num w:numId="15" w16cid:durableId="617879249">
    <w:abstractNumId w:val="10"/>
  </w:num>
  <w:num w:numId="16" w16cid:durableId="2130198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ocumentProtection w:edit="forms" w:enforcement="0"/>
  <w:defaultTabStop w:val="720"/>
  <w:characterSpacingControl w:val="doNotCompress"/>
  <w:hdrShapeDefaults>
    <o:shapedefaults v:ext="edit" spidmax="1925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AFB"/>
    <w:rsid w:val="00000E6A"/>
    <w:rsid w:val="00006175"/>
    <w:rsid w:val="00007685"/>
    <w:rsid w:val="0001002F"/>
    <w:rsid w:val="00012742"/>
    <w:rsid w:val="00012967"/>
    <w:rsid w:val="00014AA3"/>
    <w:rsid w:val="0002005D"/>
    <w:rsid w:val="0002029B"/>
    <w:rsid w:val="00042B60"/>
    <w:rsid w:val="000519D8"/>
    <w:rsid w:val="00053409"/>
    <w:rsid w:val="00057C7F"/>
    <w:rsid w:val="000628D9"/>
    <w:rsid w:val="00064341"/>
    <w:rsid w:val="000715FA"/>
    <w:rsid w:val="00074D70"/>
    <w:rsid w:val="0007570F"/>
    <w:rsid w:val="000759D0"/>
    <w:rsid w:val="00075D49"/>
    <w:rsid w:val="00080446"/>
    <w:rsid w:val="00084E2E"/>
    <w:rsid w:val="00087212"/>
    <w:rsid w:val="00096DDE"/>
    <w:rsid w:val="000A37E2"/>
    <w:rsid w:val="000A4D10"/>
    <w:rsid w:val="000A70AA"/>
    <w:rsid w:val="000B4AE8"/>
    <w:rsid w:val="000C2446"/>
    <w:rsid w:val="000C2BCC"/>
    <w:rsid w:val="000D25CF"/>
    <w:rsid w:val="000E42E5"/>
    <w:rsid w:val="000E532E"/>
    <w:rsid w:val="000F0FE1"/>
    <w:rsid w:val="000F357F"/>
    <w:rsid w:val="00104653"/>
    <w:rsid w:val="00104B0F"/>
    <w:rsid w:val="001077FC"/>
    <w:rsid w:val="00115BFC"/>
    <w:rsid w:val="001205ED"/>
    <w:rsid w:val="001211D3"/>
    <w:rsid w:val="001220E7"/>
    <w:rsid w:val="001275CF"/>
    <w:rsid w:val="001361EE"/>
    <w:rsid w:val="00142893"/>
    <w:rsid w:val="001440A4"/>
    <w:rsid w:val="00154865"/>
    <w:rsid w:val="001636AB"/>
    <w:rsid w:val="0016490E"/>
    <w:rsid w:val="00167AE4"/>
    <w:rsid w:val="001716C6"/>
    <w:rsid w:val="001723F0"/>
    <w:rsid w:val="00172EA3"/>
    <w:rsid w:val="0017707E"/>
    <w:rsid w:val="00182887"/>
    <w:rsid w:val="0018331B"/>
    <w:rsid w:val="001864F3"/>
    <w:rsid w:val="001911FA"/>
    <w:rsid w:val="001935B2"/>
    <w:rsid w:val="001936E9"/>
    <w:rsid w:val="001A056B"/>
    <w:rsid w:val="001B06AD"/>
    <w:rsid w:val="001B780E"/>
    <w:rsid w:val="001C06B0"/>
    <w:rsid w:val="001C31FE"/>
    <w:rsid w:val="001D2D78"/>
    <w:rsid w:val="001E0924"/>
    <w:rsid w:val="001E68E3"/>
    <w:rsid w:val="001E6B07"/>
    <w:rsid w:val="001F2E5B"/>
    <w:rsid w:val="001F3AD8"/>
    <w:rsid w:val="0020682D"/>
    <w:rsid w:val="00211228"/>
    <w:rsid w:val="00231405"/>
    <w:rsid w:val="002364CE"/>
    <w:rsid w:val="00236E69"/>
    <w:rsid w:val="00250756"/>
    <w:rsid w:val="00261C01"/>
    <w:rsid w:val="00261D10"/>
    <w:rsid w:val="00262388"/>
    <w:rsid w:val="00266D2A"/>
    <w:rsid w:val="00272811"/>
    <w:rsid w:val="0027368A"/>
    <w:rsid w:val="0027395D"/>
    <w:rsid w:val="002744F5"/>
    <w:rsid w:val="002821EC"/>
    <w:rsid w:val="00282F43"/>
    <w:rsid w:val="00283C1B"/>
    <w:rsid w:val="00290958"/>
    <w:rsid w:val="00292ADE"/>
    <w:rsid w:val="002954FB"/>
    <w:rsid w:val="002A2C77"/>
    <w:rsid w:val="002A7F74"/>
    <w:rsid w:val="002B115A"/>
    <w:rsid w:val="002B331B"/>
    <w:rsid w:val="002B4D77"/>
    <w:rsid w:val="002B64D2"/>
    <w:rsid w:val="002C02F7"/>
    <w:rsid w:val="002C70CF"/>
    <w:rsid w:val="002D4A0F"/>
    <w:rsid w:val="002D5A49"/>
    <w:rsid w:val="002D671E"/>
    <w:rsid w:val="002E51F9"/>
    <w:rsid w:val="002E66B7"/>
    <w:rsid w:val="002E7022"/>
    <w:rsid w:val="00307506"/>
    <w:rsid w:val="0031515D"/>
    <w:rsid w:val="003177F2"/>
    <w:rsid w:val="003226FA"/>
    <w:rsid w:val="00322731"/>
    <w:rsid w:val="00326149"/>
    <w:rsid w:val="003353C6"/>
    <w:rsid w:val="0034242C"/>
    <w:rsid w:val="00352123"/>
    <w:rsid w:val="003543D9"/>
    <w:rsid w:val="00355134"/>
    <w:rsid w:val="003620DA"/>
    <w:rsid w:val="00366386"/>
    <w:rsid w:val="003676B0"/>
    <w:rsid w:val="0037461B"/>
    <w:rsid w:val="00377672"/>
    <w:rsid w:val="0038175D"/>
    <w:rsid w:val="00382E89"/>
    <w:rsid w:val="00382FA2"/>
    <w:rsid w:val="003840F6"/>
    <w:rsid w:val="0039423E"/>
    <w:rsid w:val="003A1B05"/>
    <w:rsid w:val="003A2A55"/>
    <w:rsid w:val="003A36E2"/>
    <w:rsid w:val="003A4572"/>
    <w:rsid w:val="003A652F"/>
    <w:rsid w:val="003A76BD"/>
    <w:rsid w:val="003B2893"/>
    <w:rsid w:val="003C0099"/>
    <w:rsid w:val="003C02A3"/>
    <w:rsid w:val="003C3EC6"/>
    <w:rsid w:val="003C7430"/>
    <w:rsid w:val="003D13B6"/>
    <w:rsid w:val="003D7E32"/>
    <w:rsid w:val="003E321E"/>
    <w:rsid w:val="003F2A03"/>
    <w:rsid w:val="00402E3D"/>
    <w:rsid w:val="00404210"/>
    <w:rsid w:val="00405997"/>
    <w:rsid w:val="004138CA"/>
    <w:rsid w:val="00417BF4"/>
    <w:rsid w:val="00426005"/>
    <w:rsid w:val="0043082C"/>
    <w:rsid w:val="004364AF"/>
    <w:rsid w:val="004439CD"/>
    <w:rsid w:val="0044714D"/>
    <w:rsid w:val="00450374"/>
    <w:rsid w:val="00452B4A"/>
    <w:rsid w:val="004563C3"/>
    <w:rsid w:val="00471106"/>
    <w:rsid w:val="0048099D"/>
    <w:rsid w:val="0048565A"/>
    <w:rsid w:val="00490DD4"/>
    <w:rsid w:val="00491333"/>
    <w:rsid w:val="0049330F"/>
    <w:rsid w:val="00494999"/>
    <w:rsid w:val="0049715D"/>
    <w:rsid w:val="004A285E"/>
    <w:rsid w:val="004A3A49"/>
    <w:rsid w:val="004B36B6"/>
    <w:rsid w:val="004D0BAF"/>
    <w:rsid w:val="004D66AA"/>
    <w:rsid w:val="004E0494"/>
    <w:rsid w:val="004E26F6"/>
    <w:rsid w:val="004E58F1"/>
    <w:rsid w:val="004F53FC"/>
    <w:rsid w:val="00502934"/>
    <w:rsid w:val="00504CAE"/>
    <w:rsid w:val="0051042F"/>
    <w:rsid w:val="00511E6C"/>
    <w:rsid w:val="00514096"/>
    <w:rsid w:val="00515C17"/>
    <w:rsid w:val="0052274B"/>
    <w:rsid w:val="00523F03"/>
    <w:rsid w:val="005244AE"/>
    <w:rsid w:val="005316F0"/>
    <w:rsid w:val="00532440"/>
    <w:rsid w:val="00532BD1"/>
    <w:rsid w:val="00543F4F"/>
    <w:rsid w:val="00544E7B"/>
    <w:rsid w:val="00545235"/>
    <w:rsid w:val="00547900"/>
    <w:rsid w:val="00551A67"/>
    <w:rsid w:val="00556E8E"/>
    <w:rsid w:val="005571AD"/>
    <w:rsid w:val="005575A6"/>
    <w:rsid w:val="00562174"/>
    <w:rsid w:val="00563904"/>
    <w:rsid w:val="005642D6"/>
    <w:rsid w:val="00564CE0"/>
    <w:rsid w:val="0057411E"/>
    <w:rsid w:val="00575AA2"/>
    <w:rsid w:val="005767CF"/>
    <w:rsid w:val="005810F0"/>
    <w:rsid w:val="005843FB"/>
    <w:rsid w:val="0058734F"/>
    <w:rsid w:val="0059056C"/>
    <w:rsid w:val="00591E0E"/>
    <w:rsid w:val="00594602"/>
    <w:rsid w:val="00594BE7"/>
    <w:rsid w:val="00595AB9"/>
    <w:rsid w:val="00596536"/>
    <w:rsid w:val="005A1D66"/>
    <w:rsid w:val="005A1EF6"/>
    <w:rsid w:val="005A3B6E"/>
    <w:rsid w:val="005A65E2"/>
    <w:rsid w:val="005A793B"/>
    <w:rsid w:val="005B3053"/>
    <w:rsid w:val="005B3D42"/>
    <w:rsid w:val="005C11C4"/>
    <w:rsid w:val="005C19B1"/>
    <w:rsid w:val="005C26D7"/>
    <w:rsid w:val="005C7527"/>
    <w:rsid w:val="005D4406"/>
    <w:rsid w:val="005D4583"/>
    <w:rsid w:val="005E0878"/>
    <w:rsid w:val="005E5571"/>
    <w:rsid w:val="005F04C1"/>
    <w:rsid w:val="005F0917"/>
    <w:rsid w:val="005F111E"/>
    <w:rsid w:val="005F32C7"/>
    <w:rsid w:val="0060641B"/>
    <w:rsid w:val="006068D8"/>
    <w:rsid w:val="00610C2A"/>
    <w:rsid w:val="00611045"/>
    <w:rsid w:val="006113C7"/>
    <w:rsid w:val="00611514"/>
    <w:rsid w:val="00615D4E"/>
    <w:rsid w:val="00632A85"/>
    <w:rsid w:val="00633BCE"/>
    <w:rsid w:val="006404F4"/>
    <w:rsid w:val="00645869"/>
    <w:rsid w:val="0064740E"/>
    <w:rsid w:val="00650B98"/>
    <w:rsid w:val="00661D5A"/>
    <w:rsid w:val="00663608"/>
    <w:rsid w:val="006706DA"/>
    <w:rsid w:val="00672D70"/>
    <w:rsid w:val="00676F01"/>
    <w:rsid w:val="00677694"/>
    <w:rsid w:val="00682E88"/>
    <w:rsid w:val="006834A8"/>
    <w:rsid w:val="0068383B"/>
    <w:rsid w:val="00685320"/>
    <w:rsid w:val="00686AB8"/>
    <w:rsid w:val="00694624"/>
    <w:rsid w:val="006A2A70"/>
    <w:rsid w:val="006A5E04"/>
    <w:rsid w:val="006A7B87"/>
    <w:rsid w:val="006B049C"/>
    <w:rsid w:val="006B1D6D"/>
    <w:rsid w:val="006B67AE"/>
    <w:rsid w:val="006B7D57"/>
    <w:rsid w:val="006C0A32"/>
    <w:rsid w:val="006C74FC"/>
    <w:rsid w:val="006D0392"/>
    <w:rsid w:val="006D499E"/>
    <w:rsid w:val="006D4EB7"/>
    <w:rsid w:val="006D53C8"/>
    <w:rsid w:val="006D6BF8"/>
    <w:rsid w:val="006E0027"/>
    <w:rsid w:val="006F1BD8"/>
    <w:rsid w:val="00701AAB"/>
    <w:rsid w:val="007120A4"/>
    <w:rsid w:val="007175EB"/>
    <w:rsid w:val="0074022B"/>
    <w:rsid w:val="007421BC"/>
    <w:rsid w:val="0074395E"/>
    <w:rsid w:val="0074493C"/>
    <w:rsid w:val="00747F56"/>
    <w:rsid w:val="007522A8"/>
    <w:rsid w:val="00756AFB"/>
    <w:rsid w:val="00757DFC"/>
    <w:rsid w:val="0077010F"/>
    <w:rsid w:val="00781EAC"/>
    <w:rsid w:val="00782AC7"/>
    <w:rsid w:val="007844B6"/>
    <w:rsid w:val="00787BE8"/>
    <w:rsid w:val="00787C81"/>
    <w:rsid w:val="0079081F"/>
    <w:rsid w:val="00794108"/>
    <w:rsid w:val="007A3D13"/>
    <w:rsid w:val="007A4F73"/>
    <w:rsid w:val="007A5786"/>
    <w:rsid w:val="007C2E01"/>
    <w:rsid w:val="007C6F6F"/>
    <w:rsid w:val="007D1296"/>
    <w:rsid w:val="007D3829"/>
    <w:rsid w:val="007D383C"/>
    <w:rsid w:val="007D51C3"/>
    <w:rsid w:val="007D523F"/>
    <w:rsid w:val="007D59B4"/>
    <w:rsid w:val="007E37BE"/>
    <w:rsid w:val="007F29BC"/>
    <w:rsid w:val="007F2CAB"/>
    <w:rsid w:val="007F6F5F"/>
    <w:rsid w:val="00801E4C"/>
    <w:rsid w:val="00821945"/>
    <w:rsid w:val="008264FC"/>
    <w:rsid w:val="00835853"/>
    <w:rsid w:val="00840D00"/>
    <w:rsid w:val="00840DFE"/>
    <w:rsid w:val="0084385E"/>
    <w:rsid w:val="00854B00"/>
    <w:rsid w:val="008603A7"/>
    <w:rsid w:val="00877D3F"/>
    <w:rsid w:val="008800C5"/>
    <w:rsid w:val="008851A7"/>
    <w:rsid w:val="008972C2"/>
    <w:rsid w:val="008A2903"/>
    <w:rsid w:val="008B5A8B"/>
    <w:rsid w:val="008C0DF7"/>
    <w:rsid w:val="008C2220"/>
    <w:rsid w:val="008D0C76"/>
    <w:rsid w:val="008D2925"/>
    <w:rsid w:val="008D4D1D"/>
    <w:rsid w:val="008D50E2"/>
    <w:rsid w:val="008D6BF5"/>
    <w:rsid w:val="008E4361"/>
    <w:rsid w:val="008F204E"/>
    <w:rsid w:val="008F28A1"/>
    <w:rsid w:val="008F2AB2"/>
    <w:rsid w:val="008F48C0"/>
    <w:rsid w:val="008F4A53"/>
    <w:rsid w:val="00900732"/>
    <w:rsid w:val="0090412B"/>
    <w:rsid w:val="00907B7C"/>
    <w:rsid w:val="009128FA"/>
    <w:rsid w:val="00915207"/>
    <w:rsid w:val="009202CE"/>
    <w:rsid w:val="009206F5"/>
    <w:rsid w:val="00920AC9"/>
    <w:rsid w:val="009269E1"/>
    <w:rsid w:val="0093352C"/>
    <w:rsid w:val="00934212"/>
    <w:rsid w:val="00943CD3"/>
    <w:rsid w:val="00951B95"/>
    <w:rsid w:val="00956357"/>
    <w:rsid w:val="00957439"/>
    <w:rsid w:val="00962050"/>
    <w:rsid w:val="0096205B"/>
    <w:rsid w:val="009631E3"/>
    <w:rsid w:val="00984BF8"/>
    <w:rsid w:val="009A6294"/>
    <w:rsid w:val="009A669A"/>
    <w:rsid w:val="009A7E86"/>
    <w:rsid w:val="009B0BAF"/>
    <w:rsid w:val="009B42FD"/>
    <w:rsid w:val="009B503A"/>
    <w:rsid w:val="009B7618"/>
    <w:rsid w:val="009C0B00"/>
    <w:rsid w:val="009C2672"/>
    <w:rsid w:val="009C6B62"/>
    <w:rsid w:val="009D21CF"/>
    <w:rsid w:val="009D474F"/>
    <w:rsid w:val="009D759E"/>
    <w:rsid w:val="009E65AA"/>
    <w:rsid w:val="009F2A9B"/>
    <w:rsid w:val="009F6390"/>
    <w:rsid w:val="00A01357"/>
    <w:rsid w:val="00A0682F"/>
    <w:rsid w:val="00A10C53"/>
    <w:rsid w:val="00A24675"/>
    <w:rsid w:val="00A24ECC"/>
    <w:rsid w:val="00A31D49"/>
    <w:rsid w:val="00A35C3F"/>
    <w:rsid w:val="00A37DA7"/>
    <w:rsid w:val="00A42441"/>
    <w:rsid w:val="00A53E01"/>
    <w:rsid w:val="00A54EAB"/>
    <w:rsid w:val="00A679EC"/>
    <w:rsid w:val="00A71CE4"/>
    <w:rsid w:val="00A7788E"/>
    <w:rsid w:val="00A85CA2"/>
    <w:rsid w:val="00A90DE2"/>
    <w:rsid w:val="00A93F3F"/>
    <w:rsid w:val="00A95D25"/>
    <w:rsid w:val="00AA481D"/>
    <w:rsid w:val="00AA5E45"/>
    <w:rsid w:val="00AB01C9"/>
    <w:rsid w:val="00AB2877"/>
    <w:rsid w:val="00AC049D"/>
    <w:rsid w:val="00AC79A7"/>
    <w:rsid w:val="00AD1795"/>
    <w:rsid w:val="00AE229B"/>
    <w:rsid w:val="00AE26CC"/>
    <w:rsid w:val="00AE315E"/>
    <w:rsid w:val="00AE362D"/>
    <w:rsid w:val="00AE76D1"/>
    <w:rsid w:val="00AF56F1"/>
    <w:rsid w:val="00AF7EC2"/>
    <w:rsid w:val="00B04FB1"/>
    <w:rsid w:val="00B052EE"/>
    <w:rsid w:val="00B1306E"/>
    <w:rsid w:val="00B13CAB"/>
    <w:rsid w:val="00B13CF4"/>
    <w:rsid w:val="00B16062"/>
    <w:rsid w:val="00B21AED"/>
    <w:rsid w:val="00B34B28"/>
    <w:rsid w:val="00B52CA5"/>
    <w:rsid w:val="00B53FE7"/>
    <w:rsid w:val="00B541C8"/>
    <w:rsid w:val="00B64F74"/>
    <w:rsid w:val="00B65140"/>
    <w:rsid w:val="00B7242F"/>
    <w:rsid w:val="00B750CD"/>
    <w:rsid w:val="00B76526"/>
    <w:rsid w:val="00B77305"/>
    <w:rsid w:val="00B806C2"/>
    <w:rsid w:val="00B80842"/>
    <w:rsid w:val="00B81D6E"/>
    <w:rsid w:val="00B868A6"/>
    <w:rsid w:val="00BA27BF"/>
    <w:rsid w:val="00BB110C"/>
    <w:rsid w:val="00BB3865"/>
    <w:rsid w:val="00BC2A2E"/>
    <w:rsid w:val="00BC2E0A"/>
    <w:rsid w:val="00BC6F41"/>
    <w:rsid w:val="00BC718C"/>
    <w:rsid w:val="00BE153E"/>
    <w:rsid w:val="00BE24D5"/>
    <w:rsid w:val="00BE2951"/>
    <w:rsid w:val="00BE5437"/>
    <w:rsid w:val="00BF2718"/>
    <w:rsid w:val="00BF6DEA"/>
    <w:rsid w:val="00C00BF0"/>
    <w:rsid w:val="00C03615"/>
    <w:rsid w:val="00C05C88"/>
    <w:rsid w:val="00C05DDD"/>
    <w:rsid w:val="00C1055A"/>
    <w:rsid w:val="00C2077F"/>
    <w:rsid w:val="00C31346"/>
    <w:rsid w:val="00C344B4"/>
    <w:rsid w:val="00C35DE9"/>
    <w:rsid w:val="00C414FE"/>
    <w:rsid w:val="00C4222A"/>
    <w:rsid w:val="00C51F0D"/>
    <w:rsid w:val="00C57F4F"/>
    <w:rsid w:val="00C6013D"/>
    <w:rsid w:val="00C63E1C"/>
    <w:rsid w:val="00C66B51"/>
    <w:rsid w:val="00C724FF"/>
    <w:rsid w:val="00C72752"/>
    <w:rsid w:val="00C74AEC"/>
    <w:rsid w:val="00C77C29"/>
    <w:rsid w:val="00C83FFE"/>
    <w:rsid w:val="00C84371"/>
    <w:rsid w:val="00C84732"/>
    <w:rsid w:val="00C868B2"/>
    <w:rsid w:val="00C902F0"/>
    <w:rsid w:val="00C90F1D"/>
    <w:rsid w:val="00C927FE"/>
    <w:rsid w:val="00C94A5F"/>
    <w:rsid w:val="00CA27DA"/>
    <w:rsid w:val="00CA3959"/>
    <w:rsid w:val="00CA4DFE"/>
    <w:rsid w:val="00CB13D7"/>
    <w:rsid w:val="00CB6986"/>
    <w:rsid w:val="00CB71A3"/>
    <w:rsid w:val="00CD036E"/>
    <w:rsid w:val="00CD0F24"/>
    <w:rsid w:val="00CD4E4A"/>
    <w:rsid w:val="00CE2000"/>
    <w:rsid w:val="00CE4BE1"/>
    <w:rsid w:val="00CE56BA"/>
    <w:rsid w:val="00CE736A"/>
    <w:rsid w:val="00CF582A"/>
    <w:rsid w:val="00CF6C30"/>
    <w:rsid w:val="00D00233"/>
    <w:rsid w:val="00D01E8F"/>
    <w:rsid w:val="00D055BB"/>
    <w:rsid w:val="00D23142"/>
    <w:rsid w:val="00D25E7F"/>
    <w:rsid w:val="00D27E23"/>
    <w:rsid w:val="00D31A51"/>
    <w:rsid w:val="00D31B61"/>
    <w:rsid w:val="00D31E42"/>
    <w:rsid w:val="00D33708"/>
    <w:rsid w:val="00D53CA4"/>
    <w:rsid w:val="00D54F0C"/>
    <w:rsid w:val="00D56CC6"/>
    <w:rsid w:val="00D5751D"/>
    <w:rsid w:val="00D64238"/>
    <w:rsid w:val="00D677FE"/>
    <w:rsid w:val="00D80E2F"/>
    <w:rsid w:val="00D840A5"/>
    <w:rsid w:val="00D902B8"/>
    <w:rsid w:val="00D90855"/>
    <w:rsid w:val="00D91E1C"/>
    <w:rsid w:val="00D932E9"/>
    <w:rsid w:val="00D939D0"/>
    <w:rsid w:val="00DA0CC1"/>
    <w:rsid w:val="00DA32AD"/>
    <w:rsid w:val="00DA5F4F"/>
    <w:rsid w:val="00DA6B61"/>
    <w:rsid w:val="00DB0ED7"/>
    <w:rsid w:val="00DB3080"/>
    <w:rsid w:val="00DB6818"/>
    <w:rsid w:val="00DC23E1"/>
    <w:rsid w:val="00DC79B6"/>
    <w:rsid w:val="00DD5316"/>
    <w:rsid w:val="00DF171D"/>
    <w:rsid w:val="00DF4026"/>
    <w:rsid w:val="00DF5C5D"/>
    <w:rsid w:val="00DF61C7"/>
    <w:rsid w:val="00E0507A"/>
    <w:rsid w:val="00E05977"/>
    <w:rsid w:val="00E15C81"/>
    <w:rsid w:val="00E175FF"/>
    <w:rsid w:val="00E17CE7"/>
    <w:rsid w:val="00E311A1"/>
    <w:rsid w:val="00E43742"/>
    <w:rsid w:val="00E54AC3"/>
    <w:rsid w:val="00E57CDE"/>
    <w:rsid w:val="00E610C6"/>
    <w:rsid w:val="00E65A13"/>
    <w:rsid w:val="00E663C0"/>
    <w:rsid w:val="00E733BF"/>
    <w:rsid w:val="00E73455"/>
    <w:rsid w:val="00E85753"/>
    <w:rsid w:val="00E93D13"/>
    <w:rsid w:val="00E9489B"/>
    <w:rsid w:val="00E968B9"/>
    <w:rsid w:val="00EA68BF"/>
    <w:rsid w:val="00EB0E46"/>
    <w:rsid w:val="00EB2A2D"/>
    <w:rsid w:val="00EB53D3"/>
    <w:rsid w:val="00ED6029"/>
    <w:rsid w:val="00ED6208"/>
    <w:rsid w:val="00EE0D61"/>
    <w:rsid w:val="00EE2AB0"/>
    <w:rsid w:val="00EE5ACC"/>
    <w:rsid w:val="00EE72D1"/>
    <w:rsid w:val="00F053CB"/>
    <w:rsid w:val="00F13C82"/>
    <w:rsid w:val="00F15539"/>
    <w:rsid w:val="00F16C41"/>
    <w:rsid w:val="00F24738"/>
    <w:rsid w:val="00F43167"/>
    <w:rsid w:val="00F57D1B"/>
    <w:rsid w:val="00F6533C"/>
    <w:rsid w:val="00F655B0"/>
    <w:rsid w:val="00F6733A"/>
    <w:rsid w:val="00F7087A"/>
    <w:rsid w:val="00F77165"/>
    <w:rsid w:val="00F92441"/>
    <w:rsid w:val="00F9281A"/>
    <w:rsid w:val="00F953B7"/>
    <w:rsid w:val="00FA01F0"/>
    <w:rsid w:val="00FA02FC"/>
    <w:rsid w:val="00FA2DCD"/>
    <w:rsid w:val="00FA641E"/>
    <w:rsid w:val="00FA6813"/>
    <w:rsid w:val="00FB168E"/>
    <w:rsid w:val="00FB3675"/>
    <w:rsid w:val="00FD0E22"/>
    <w:rsid w:val="00FD5D28"/>
    <w:rsid w:val="00FD7094"/>
    <w:rsid w:val="00FD7B37"/>
    <w:rsid w:val="00FD7E57"/>
    <w:rsid w:val="00FE2059"/>
    <w:rsid w:val="00FE20F4"/>
    <w:rsid w:val="00FE6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2513"/>
    <o:shapelayout v:ext="edit">
      <o:idmap v:ext="edit" data="1"/>
    </o:shapelayout>
  </w:shapeDefaults>
  <w:decimalSymbol w:val="."/>
  <w:listSeparator w:val=","/>
  <w14:docId w14:val="71A25F34"/>
  <w15:chartTrackingRefBased/>
  <w15:docId w15:val="{B1324AE2-75FB-4C23-A9DA-6D335A3E6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742"/>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nhideWhenUsed/>
    <w:qFormat/>
    <w:rsid w:val="008F48C0"/>
    <w:pPr>
      <w:keepNext/>
      <w:keepLines/>
      <w:spacing w:before="240" w:line="276" w:lineRule="auto"/>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6AFB"/>
    <w:pPr>
      <w:spacing w:after="0" w:line="240" w:lineRule="auto"/>
    </w:pPr>
  </w:style>
  <w:style w:type="paragraph" w:styleId="Header">
    <w:name w:val="header"/>
    <w:basedOn w:val="Normal"/>
    <w:link w:val="HeaderChar"/>
    <w:uiPriority w:val="99"/>
    <w:unhideWhenUsed/>
    <w:rsid w:val="00C344B4"/>
    <w:pPr>
      <w:tabs>
        <w:tab w:val="center" w:pos="4680"/>
        <w:tab w:val="right" w:pos="9360"/>
      </w:tabs>
    </w:pPr>
  </w:style>
  <w:style w:type="character" w:customStyle="1" w:styleId="HeaderChar">
    <w:name w:val="Header Char"/>
    <w:basedOn w:val="DefaultParagraphFont"/>
    <w:link w:val="Header"/>
    <w:uiPriority w:val="99"/>
    <w:rsid w:val="00C344B4"/>
  </w:style>
  <w:style w:type="paragraph" w:styleId="Footer">
    <w:name w:val="footer"/>
    <w:basedOn w:val="Normal"/>
    <w:link w:val="FooterChar"/>
    <w:uiPriority w:val="99"/>
    <w:unhideWhenUsed/>
    <w:rsid w:val="00C344B4"/>
    <w:pPr>
      <w:tabs>
        <w:tab w:val="center" w:pos="4680"/>
        <w:tab w:val="right" w:pos="9360"/>
      </w:tabs>
    </w:pPr>
  </w:style>
  <w:style w:type="character" w:customStyle="1" w:styleId="FooterChar">
    <w:name w:val="Footer Char"/>
    <w:basedOn w:val="DefaultParagraphFont"/>
    <w:link w:val="Footer"/>
    <w:uiPriority w:val="99"/>
    <w:rsid w:val="00C344B4"/>
  </w:style>
  <w:style w:type="character" w:styleId="PlaceholderText">
    <w:name w:val="Placeholder Text"/>
    <w:basedOn w:val="DefaultParagraphFont"/>
    <w:uiPriority w:val="99"/>
    <w:semiHidden/>
    <w:rsid w:val="003A36E2"/>
    <w:rPr>
      <w:color w:val="808080"/>
    </w:rPr>
  </w:style>
  <w:style w:type="paragraph" w:styleId="FootnoteText">
    <w:name w:val="footnote text"/>
    <w:basedOn w:val="Normal"/>
    <w:link w:val="FootnoteTextChar"/>
    <w:unhideWhenUsed/>
    <w:rsid w:val="00DA32AD"/>
    <w:rPr>
      <w:sz w:val="20"/>
      <w:szCs w:val="20"/>
    </w:rPr>
  </w:style>
  <w:style w:type="character" w:customStyle="1" w:styleId="FootnoteTextChar">
    <w:name w:val="Footnote Text Char"/>
    <w:basedOn w:val="DefaultParagraphFont"/>
    <w:link w:val="FootnoteText"/>
    <w:rsid w:val="00DA32AD"/>
    <w:rPr>
      <w:rFonts w:ascii="Times New Roman" w:eastAsia="Times New Roman" w:hAnsi="Times New Roman" w:cs="Times New Roman"/>
      <w:sz w:val="20"/>
      <w:szCs w:val="20"/>
    </w:rPr>
  </w:style>
  <w:style w:type="character" w:styleId="FootnoteReference">
    <w:name w:val="footnote reference"/>
    <w:unhideWhenUsed/>
    <w:rsid w:val="00DA32AD"/>
    <w:rPr>
      <w:vertAlign w:val="superscript"/>
    </w:rPr>
  </w:style>
  <w:style w:type="paragraph" w:styleId="ListParagraph">
    <w:name w:val="List Paragraph"/>
    <w:basedOn w:val="Normal"/>
    <w:uiPriority w:val="34"/>
    <w:qFormat/>
    <w:rsid w:val="005C26D7"/>
    <w:pPr>
      <w:ind w:left="720"/>
      <w:contextualSpacing/>
    </w:pPr>
  </w:style>
  <w:style w:type="paragraph" w:customStyle="1" w:styleId="Default">
    <w:name w:val="Default"/>
    <w:rsid w:val="00AB287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andard">
    <w:name w:val="Standard"/>
    <w:rsid w:val="005642D6"/>
    <w:pPr>
      <w:suppressAutoHyphens/>
      <w:autoSpaceDN w:val="0"/>
      <w:spacing w:after="0" w:line="240" w:lineRule="auto"/>
      <w:textAlignment w:val="baseline"/>
    </w:pPr>
    <w:rPr>
      <w:rFonts w:ascii="Times New Roman" w:eastAsia="Times New Roman" w:hAnsi="Times New Roman" w:cs="Times New Roman"/>
      <w:kern w:val="3"/>
      <w:sz w:val="24"/>
      <w:szCs w:val="20"/>
      <w:lang w:eastAsia="zh-CN"/>
    </w:rPr>
  </w:style>
  <w:style w:type="table" w:styleId="TableGrid">
    <w:name w:val="Table Grid"/>
    <w:basedOn w:val="TableNormal"/>
    <w:uiPriority w:val="39"/>
    <w:rsid w:val="009A7E8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F48C0"/>
    <w:rPr>
      <w:rFonts w:ascii="Arial" w:eastAsiaTheme="majorEastAsia" w:hAnsi="Arial" w:cs="Arial"/>
      <w:b/>
      <w:bCs/>
      <w:sz w:val="24"/>
      <w:szCs w:val="24"/>
    </w:rPr>
  </w:style>
  <w:style w:type="table" w:customStyle="1" w:styleId="TableGrid1">
    <w:name w:val="Table Grid1"/>
    <w:basedOn w:val="TableNormal"/>
    <w:next w:val="TableGrid"/>
    <w:rsid w:val="008F48C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locked/>
    <w:rsid w:val="008F48C0"/>
  </w:style>
  <w:style w:type="character" w:styleId="Hyperlink">
    <w:name w:val="Hyperlink"/>
    <w:basedOn w:val="DefaultParagraphFont"/>
    <w:uiPriority w:val="99"/>
    <w:semiHidden/>
    <w:unhideWhenUsed/>
    <w:rsid w:val="006D0392"/>
    <w:rPr>
      <w:color w:val="0000FF"/>
      <w:u w:val="single"/>
    </w:rPr>
  </w:style>
  <w:style w:type="character" w:customStyle="1" w:styleId="ssit">
    <w:name w:val="ss_it"/>
    <w:basedOn w:val="DefaultParagraphFont"/>
    <w:rsid w:val="006D0392"/>
  </w:style>
  <w:style w:type="character" w:customStyle="1" w:styleId="ssrfcpassagedeactivated">
    <w:name w:val="ss_rfcpassage_deactivated"/>
    <w:basedOn w:val="DefaultParagraphFont"/>
    <w:rsid w:val="00E57CDE"/>
  </w:style>
  <w:style w:type="character" w:customStyle="1" w:styleId="ssrfcsection">
    <w:name w:val="ss_rfcsection"/>
    <w:basedOn w:val="DefaultParagraphFont"/>
    <w:rsid w:val="00E57CDE"/>
  </w:style>
  <w:style w:type="character" w:customStyle="1" w:styleId="sssh">
    <w:name w:val="ss_sh"/>
    <w:basedOn w:val="DefaultParagraphFont"/>
    <w:rsid w:val="00E57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103976">
      <w:bodyDiv w:val="1"/>
      <w:marLeft w:val="0"/>
      <w:marRight w:val="0"/>
      <w:marTop w:val="0"/>
      <w:marBottom w:val="0"/>
      <w:divBdr>
        <w:top w:val="none" w:sz="0" w:space="0" w:color="auto"/>
        <w:left w:val="none" w:sz="0" w:space="0" w:color="auto"/>
        <w:bottom w:val="none" w:sz="0" w:space="0" w:color="auto"/>
        <w:right w:val="none" w:sz="0" w:space="0" w:color="auto"/>
      </w:divBdr>
    </w:div>
    <w:div w:id="1033925027">
      <w:bodyDiv w:val="1"/>
      <w:marLeft w:val="0"/>
      <w:marRight w:val="0"/>
      <w:marTop w:val="0"/>
      <w:marBottom w:val="0"/>
      <w:divBdr>
        <w:top w:val="none" w:sz="0" w:space="0" w:color="auto"/>
        <w:left w:val="none" w:sz="0" w:space="0" w:color="auto"/>
        <w:bottom w:val="none" w:sz="0" w:space="0" w:color="auto"/>
        <w:right w:val="none" w:sz="0" w:space="0" w:color="auto"/>
      </w:divBdr>
    </w:div>
    <w:div w:id="1053697561">
      <w:bodyDiv w:val="1"/>
      <w:marLeft w:val="0"/>
      <w:marRight w:val="0"/>
      <w:marTop w:val="0"/>
      <w:marBottom w:val="0"/>
      <w:divBdr>
        <w:top w:val="none" w:sz="0" w:space="0" w:color="auto"/>
        <w:left w:val="none" w:sz="0" w:space="0" w:color="auto"/>
        <w:bottom w:val="none" w:sz="0" w:space="0" w:color="auto"/>
        <w:right w:val="none" w:sz="0" w:space="0" w:color="auto"/>
      </w:divBdr>
    </w:div>
    <w:div w:id="1167794277">
      <w:bodyDiv w:val="1"/>
      <w:marLeft w:val="0"/>
      <w:marRight w:val="0"/>
      <w:marTop w:val="0"/>
      <w:marBottom w:val="0"/>
      <w:divBdr>
        <w:top w:val="none" w:sz="0" w:space="0" w:color="auto"/>
        <w:left w:val="none" w:sz="0" w:space="0" w:color="auto"/>
        <w:bottom w:val="none" w:sz="0" w:space="0" w:color="auto"/>
        <w:right w:val="none" w:sz="0" w:space="0" w:color="auto"/>
      </w:divBdr>
    </w:div>
    <w:div w:id="1234704628">
      <w:bodyDiv w:val="1"/>
      <w:marLeft w:val="0"/>
      <w:marRight w:val="0"/>
      <w:marTop w:val="0"/>
      <w:marBottom w:val="0"/>
      <w:divBdr>
        <w:top w:val="none" w:sz="0" w:space="0" w:color="auto"/>
        <w:left w:val="none" w:sz="0" w:space="0" w:color="auto"/>
        <w:bottom w:val="none" w:sz="0" w:space="0" w:color="auto"/>
        <w:right w:val="none" w:sz="0" w:space="0" w:color="auto"/>
      </w:divBdr>
    </w:div>
    <w:div w:id="1284536558">
      <w:bodyDiv w:val="1"/>
      <w:marLeft w:val="0"/>
      <w:marRight w:val="0"/>
      <w:marTop w:val="0"/>
      <w:marBottom w:val="0"/>
      <w:divBdr>
        <w:top w:val="none" w:sz="0" w:space="0" w:color="auto"/>
        <w:left w:val="none" w:sz="0" w:space="0" w:color="auto"/>
        <w:bottom w:val="none" w:sz="0" w:space="0" w:color="auto"/>
        <w:right w:val="none" w:sz="0" w:space="0" w:color="auto"/>
      </w:divBdr>
    </w:div>
    <w:div w:id="1565795300">
      <w:bodyDiv w:val="1"/>
      <w:marLeft w:val="0"/>
      <w:marRight w:val="0"/>
      <w:marTop w:val="0"/>
      <w:marBottom w:val="0"/>
      <w:divBdr>
        <w:top w:val="none" w:sz="0" w:space="0" w:color="auto"/>
        <w:left w:val="none" w:sz="0" w:space="0" w:color="auto"/>
        <w:bottom w:val="none" w:sz="0" w:space="0" w:color="auto"/>
        <w:right w:val="none" w:sz="0" w:space="0" w:color="auto"/>
      </w:divBdr>
    </w:div>
    <w:div w:id="1716275728">
      <w:bodyDiv w:val="1"/>
      <w:marLeft w:val="0"/>
      <w:marRight w:val="0"/>
      <w:marTop w:val="0"/>
      <w:marBottom w:val="0"/>
      <w:divBdr>
        <w:top w:val="none" w:sz="0" w:space="0" w:color="auto"/>
        <w:left w:val="none" w:sz="0" w:space="0" w:color="auto"/>
        <w:bottom w:val="none" w:sz="0" w:space="0" w:color="auto"/>
        <w:right w:val="none" w:sz="0" w:space="0" w:color="auto"/>
      </w:divBdr>
    </w:div>
    <w:div w:id="1731492480">
      <w:bodyDiv w:val="1"/>
      <w:marLeft w:val="0"/>
      <w:marRight w:val="0"/>
      <w:marTop w:val="0"/>
      <w:marBottom w:val="0"/>
      <w:divBdr>
        <w:top w:val="none" w:sz="0" w:space="0" w:color="auto"/>
        <w:left w:val="none" w:sz="0" w:space="0" w:color="auto"/>
        <w:bottom w:val="none" w:sz="0" w:space="0" w:color="auto"/>
        <w:right w:val="none" w:sz="0" w:space="0" w:color="auto"/>
      </w:divBdr>
    </w:div>
    <w:div w:id="1852328924">
      <w:bodyDiv w:val="1"/>
      <w:marLeft w:val="0"/>
      <w:marRight w:val="0"/>
      <w:marTop w:val="0"/>
      <w:marBottom w:val="0"/>
      <w:divBdr>
        <w:top w:val="none" w:sz="0" w:space="0" w:color="auto"/>
        <w:left w:val="none" w:sz="0" w:space="0" w:color="auto"/>
        <w:bottom w:val="none" w:sz="0" w:space="0" w:color="auto"/>
        <w:right w:val="none" w:sz="0" w:space="0" w:color="auto"/>
      </w:divBdr>
    </w:div>
    <w:div w:id="1855416481">
      <w:bodyDiv w:val="1"/>
      <w:marLeft w:val="0"/>
      <w:marRight w:val="0"/>
      <w:marTop w:val="0"/>
      <w:marBottom w:val="0"/>
      <w:divBdr>
        <w:top w:val="none" w:sz="0" w:space="0" w:color="auto"/>
        <w:left w:val="none" w:sz="0" w:space="0" w:color="auto"/>
        <w:bottom w:val="none" w:sz="0" w:space="0" w:color="auto"/>
        <w:right w:val="none" w:sz="0" w:space="0" w:color="auto"/>
      </w:divBdr>
    </w:div>
    <w:div w:id="1936671059">
      <w:bodyDiv w:val="1"/>
      <w:marLeft w:val="0"/>
      <w:marRight w:val="0"/>
      <w:marTop w:val="0"/>
      <w:marBottom w:val="0"/>
      <w:divBdr>
        <w:top w:val="none" w:sz="0" w:space="0" w:color="auto"/>
        <w:left w:val="none" w:sz="0" w:space="0" w:color="auto"/>
        <w:bottom w:val="none" w:sz="0" w:space="0" w:color="auto"/>
        <w:right w:val="none" w:sz="0" w:space="0" w:color="auto"/>
      </w:divBdr>
    </w:div>
    <w:div w:id="21401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FE38061E10462CA2CCE2A6F5E71584"/>
        <w:category>
          <w:name w:val="General"/>
          <w:gallery w:val="placeholder"/>
        </w:category>
        <w:types>
          <w:type w:val="bbPlcHdr"/>
        </w:types>
        <w:behaviors>
          <w:behavior w:val="content"/>
        </w:behaviors>
        <w:guid w:val="{94420368-FB2C-4E8A-9AB7-94DCDC0DA374}"/>
      </w:docPartPr>
      <w:docPartBody>
        <w:p w:rsidR="00DC46F0" w:rsidRDefault="00DC46F0" w:rsidP="00DC46F0">
          <w:pPr>
            <w:pStyle w:val="51FE38061E10462CA2CCE2A6F5E71584"/>
          </w:pPr>
          <w:r w:rsidRPr="00F8436F">
            <w:rPr>
              <w:rStyle w:val="PlaceholderText"/>
              <w:rFonts w:cstheme="minorHAnsi"/>
              <w:sz w:val="24"/>
              <w:szCs w:val="24"/>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3E"/>
    <w:rsid w:val="00004D91"/>
    <w:rsid w:val="00017AA7"/>
    <w:rsid w:val="00135D6A"/>
    <w:rsid w:val="002876EB"/>
    <w:rsid w:val="002A7BF4"/>
    <w:rsid w:val="002F595A"/>
    <w:rsid w:val="003709BA"/>
    <w:rsid w:val="003A0BFE"/>
    <w:rsid w:val="00544C71"/>
    <w:rsid w:val="00544F9E"/>
    <w:rsid w:val="005B4580"/>
    <w:rsid w:val="006936A3"/>
    <w:rsid w:val="006B6BB3"/>
    <w:rsid w:val="00731026"/>
    <w:rsid w:val="00753D18"/>
    <w:rsid w:val="00773F87"/>
    <w:rsid w:val="007868AF"/>
    <w:rsid w:val="007A5BBB"/>
    <w:rsid w:val="007F64F0"/>
    <w:rsid w:val="00862EE8"/>
    <w:rsid w:val="008A0037"/>
    <w:rsid w:val="0092693E"/>
    <w:rsid w:val="009B7724"/>
    <w:rsid w:val="00A90792"/>
    <w:rsid w:val="00AC3ACD"/>
    <w:rsid w:val="00AE5587"/>
    <w:rsid w:val="00B15C62"/>
    <w:rsid w:val="00B20360"/>
    <w:rsid w:val="00B374E4"/>
    <w:rsid w:val="00B44249"/>
    <w:rsid w:val="00B55CD4"/>
    <w:rsid w:val="00B77DA7"/>
    <w:rsid w:val="00C463BF"/>
    <w:rsid w:val="00CC3213"/>
    <w:rsid w:val="00CE5D0B"/>
    <w:rsid w:val="00CF74C1"/>
    <w:rsid w:val="00D17D4E"/>
    <w:rsid w:val="00D17E03"/>
    <w:rsid w:val="00D359F3"/>
    <w:rsid w:val="00DC46F0"/>
    <w:rsid w:val="00DD5DA1"/>
    <w:rsid w:val="00E722D4"/>
    <w:rsid w:val="00EB73AA"/>
    <w:rsid w:val="00EF78BB"/>
    <w:rsid w:val="00F201AC"/>
    <w:rsid w:val="00F81216"/>
    <w:rsid w:val="00FA43B9"/>
    <w:rsid w:val="00FB0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46F0"/>
    <w:rPr>
      <w:color w:val="808080"/>
    </w:rPr>
  </w:style>
  <w:style w:type="paragraph" w:customStyle="1" w:styleId="51FE38061E10462CA2CCE2A6F5E71584">
    <w:name w:val="51FE38061E10462CA2CCE2A6F5E71584"/>
    <w:rsid w:val="00DC46F0"/>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315D4-B954-4224-9746-78E0F1C2F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3</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Dustin (OATH)</dc:creator>
  <cp:keywords/>
  <dc:description/>
  <cp:lastModifiedBy>Zeitler, Richard (OATH)</cp:lastModifiedBy>
  <cp:revision>17</cp:revision>
  <cp:lastPrinted>2022-09-01T21:57:00Z</cp:lastPrinted>
  <dcterms:created xsi:type="dcterms:W3CDTF">2024-09-24T20:30:00Z</dcterms:created>
  <dcterms:modified xsi:type="dcterms:W3CDTF">2025-02-15T04:53:00Z</dcterms:modified>
</cp:coreProperties>
</file>