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SunPath Energy Ltd</w:t>
      </w:r>
    </w:p>
    <w:p>
      <w:r>
        <w:t>Source document: sunpath_solar.pdf</w:t>
      </w:r>
    </w:p>
    <w:p>
      <w:r>
        <w:t>Prepared: 2026-10-08   ·   Reviewer: Impact Vision</w:t>
      </w:r>
    </w:p>
    <w:p>
      <w:pPr>
        <w:pStyle w:val="Heading1"/>
      </w:pPr>
      <w:r>
        <w:t>Executive summary</w:t>
      </w:r>
    </w:p>
    <w:p>
      <w:r>
        <w:t xml:space="preserve">Checklist coverage: 41.7% (30 of 72 addressed). </w:t>
      </w:r>
      <w:r>
        <w:t xml:space="preserve">High-priority gaps to raise first: 14. </w:t>
      </w:r>
      <w:r>
        <w:t xml:space="preserve">Average NESTA evidence level of addressed questions: 1.7/5.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What — intended outcomes</w:t>
      </w:r>
      <w:r>
        <w:t xml:space="preserve"> — 1/4 addressed · 25% coverage · 2 high-priority gaps</w:t>
      </w:r>
    </w:p>
    <w:p>
      <w:pPr>
        <w:pStyle w:val="ListBullet"/>
      </w:pPr>
      <w:r>
        <w:rPr>
          <w:b/>
        </w:rPr>
        <w:t>Impact risk</w:t>
      </w:r>
      <w:r>
        <w:t xml:space="preserve"> — 2/5 addressed · 40%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0/4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(14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pPr>
        <w:pStyle w:val="Heading3"/>
      </w:pPr>
      <w:r>
        <w:t>Contribution / additionality</w:t>
      </w:r>
    </w:p>
    <w:p>
      <w:r>
        <w:rPr>
          <w:b/>
          <w:color w:val="0D47A1"/>
        </w:rPr>
        <w:t xml:space="preserve">5.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6.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7.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8.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Financial sustainability</w:t>
      </w:r>
    </w:p>
    <w:p>
      <w:r>
        <w:rPr>
          <w:b/>
          <w:color w:val="0D47A1"/>
        </w:rPr>
        <w:t xml:space="preserve">9.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10.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11.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Market context</w:t>
      </w:r>
    </w:p>
    <w:p>
      <w:r>
        <w:rPr>
          <w:b/>
          <w:color w:val="0D47A1"/>
        </w:rPr>
        <w:t xml:space="preserve">12.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Product / service design</w:t>
      </w:r>
    </w:p>
    <w:p>
      <w:r>
        <w:rPr>
          <w:b/>
          <w:color w:val="0D47A1"/>
        </w:rPr>
        <w:t xml:space="preserve">13.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14.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(28 questions)</w:t>
      </w:r>
    </w:p>
    <w:p>
      <w:pPr>
        <w:pStyle w:val="Heading3"/>
      </w:pPr>
      <w:r>
        <w:t>What — intended outcomes</w:t>
      </w:r>
    </w:p>
    <w:p>
      <w:r>
        <w:rPr>
          <w:b/>
          <w:color w:val="0D47A1"/>
        </w:rPr>
        <w:t xml:space="preserve">15.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16.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17.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18.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[GE03] </w:t>
      </w:r>
      <w:r>
        <w:rPr>
          <w:b/>
        </w:rPr>
        <w:t>What are the company's labor practices, employee welfare, and diversity policies?</w:t>
      </w:r>
    </w:p>
    <w:p>
      <w:r>
        <w:rPr>
          <w:b/>
        </w:rPr>
        <w:t>Founder response:</w:t>
      </w:r>
    </w:p>
    <w:p>
      <w:pPr>
        <w:spacing w:after="240"/>
        <w:ind w:left="360"/>
      </w:pPr>
      <w:r>
        <w:t xml:space="preserve"> </w:t>
      </w:r>
    </w:p>
    <w:p>
      <w:r>
        <w:rPr>
          <w:b/>
          <w:color w:val="0D47A1"/>
        </w:rPr>
        <w:t xml:space="preserve">25.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26.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27.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28.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29.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30.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31.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32.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33.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[TC02] </w:t>
      </w:r>
      <w:r>
        <w:rPr>
          <w:b/>
        </w:rPr>
        <w:t>Does the team include members from or with deep ties to the target community?</w:t>
      </w:r>
    </w:p>
    <w:p>
      <w:r>
        <w:rPr>
          <w:b/>
        </w:rPr>
        <w:t>Founder response:</w:t>
      </w:r>
    </w:p>
    <w:p>
      <w:pPr>
        <w:spacing w:after="240"/>
        <w:ind w:left="360"/>
      </w:pPr>
      <w:r>
        <w:t xml:space="preserve"> </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[MC02] </w:t>
      </w:r>
      <w:r>
        <w:rPr>
          <w:b/>
        </w:rPr>
        <w:t>What is the regulatory environment? Are there supportive or restrictive policies?</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r>
        <w:rPr>
          <w:b/>
          <w:color w:val="0D47A1"/>
        </w:rPr>
        <w:t xml:space="preserve">38.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39.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40.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41.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42.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SunPath Energy Ltd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0.17.2</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