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SunPath Energy Ltd</w:t>
      </w:r>
    </w:p>
    <w:p>
      <w:pPr>
        <w:pStyle w:val="ListBullet"/>
      </w:pPr>
      <w:r>
        <w:rPr>
          <w:b/>
        </w:rPr>
        <w:t>Date</w:t>
      </w:r>
      <w:r>
        <w:t>: 2026-10-08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energy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57/100 (moderate) · </w:t>
      </w:r>
      <w:r>
        <w:rPr>
          <w:b/>
        </w:rPr>
        <w:t>data completeness</w:t>
      </w:r>
      <w:r>
        <w:t xml:space="preserve"> 18%</w:t>
      </w:r>
    </w:p>
    <w:p>
      <w:pPr>
        <w:pStyle w:val="ListBullet"/>
      </w:pPr>
      <w:r>
        <w:rPr>
          <w:b/>
        </w:rPr>
        <w:t>People</w:t>
      </w:r>
      <w:r>
        <w:t xml:space="preserve"> (households): P50 </w:t>
      </w:r>
      <w:r>
        <w:rPr>
          <w:b/>
        </w:rPr>
        <w:t>21,000</w:t>
      </w:r>
      <w:r>
        <w:t xml:space="preserve"> depth-weighted person-years (P10 8,300 – P90 57,000; wide uncertainty)</w:t>
      </w:r>
    </w:p>
    <w:p>
      <w:pPr>
        <w:pStyle w:val="ListBullet"/>
      </w:pPr>
      <w:r>
        <w:rPr>
          <w:b/>
        </w:rPr>
        <w:t>Climate</w:t>
      </w:r>
      <w:r>
        <w:t xml:space="preserve"> (tCO2e): P50 </w:t>
      </w:r>
      <w:r>
        <w:rPr>
          <w:b/>
        </w:rPr>
        <w:t>32,000</w:t>
      </w:r>
      <w:r>
        <w:t xml:space="preserve"> tCO2e (P10 12,000 – P90 81,000; wide uncertainty)</w:t>
      </w:r>
    </w:p>
    <w:p>
      <w:r>
        <w:rPr>
          <w:b/>
        </w:rPr>
        <w:t>Evidence plan</w:t>
      </w:r>
    </w:p>
    <w:p>
      <w:r>
        <w:t>1. Have the headline reach figure (42,000 households) verified by a third party. — Reach drives most of the remaining uncertainty.</w:t>
      </w:r>
    </w:p>
    <w:p>
      <w:r>
        <w:t>2. Report the sector's core metrics: Energy Generated for Sale: Renewable, Energy Capacity of Products Sold, Client Feedback System. — Only 18% of the core set is reported.</w:t>
      </w:r>
    </w:p>
    <w:p>
      <w:r>
        <w:t>3. Back the main figures with data: monitoring records, surveys or audited accounts. — Evidence quality is moderate (57/100).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1.88/5</w:t>
      </w:r>
      <w:r>
        <w:t xml:space="preserve"> (unweighted: 1.8/5)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30.5/100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 metric reported · 1 of 16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0 of 1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1.8/5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42/100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1.8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41.8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34.0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34.0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energy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1.8 vs. min 2.5</w:t>
      </w:r>
    </w:p>
    <w:p>
      <w:pPr>
        <w:pStyle w:val="ListBullet"/>
      </w:pPr>
      <w:r>
        <w:t>❌ SDG 7 (Affordable and Clean Energy): 41.8 vs. min 60.0</w:t>
      </w:r>
    </w:p>
    <w:p>
      <w:pPr>
        <w:pStyle w:val="ListBullet"/>
      </w:pPr>
      <w:r>
        <w:t>❌ 41.7% covered vs. min 70.0%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2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Impact Vision 0.17.2</dc:creator>
  <cp:keywords>digitalsourcetype=http://cv.iptc.org/newscodes/digitalsourcetype/algorithmicMedia</cp:keywords>
  <dc:description>Machine-generated document: produced automatically from the supplied inputs; it may contain automatically extracted or estimated figures. Review before relying on it.</dc:description>
  <cp:lastModifiedBy/>
  <cp:revision>1</cp:revision>
  <dcterms:created xsi:type="dcterms:W3CDTF">2013-12-23T23:15:00Z</dcterms:created>
  <dcterms:modified xsi:type="dcterms:W3CDTF">2013-12-23T23:15:00Z</dcterms:modified>
  <cp:category>Machine-generated (EU AI Act Art 50 disclosure in comments)</cp:category>
</cp:coreProperties>
</file>