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2026-10-07   ·   Reviewer: Impact Vision</w:t>
      </w:r>
    </w:p>
    <w:p>
      <w:pPr>
        <w:pStyle w:val="Heading1"/>
      </w:pPr>
      <w:r>
        <w:t>Executive summary</w:t>
      </w:r>
    </w:p>
    <w:p>
      <w:r>
        <w:t xml:space="preserve">Checklist coverage: 43.4% (33 of 76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r>
        <w:rPr>
          <w:b/>
          <w:color w:val="0D47A1"/>
        </w:rPr>
        <w:t xml:space="preserve">23.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24.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25.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26.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27.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28.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29.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30.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31.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32.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33.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34.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38.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39.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40.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41.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42. </w:t>
      </w:r>
      <w:r>
        <w:rPr>
          <w:color w:val="6B7280"/>
          <w:sz w:val="18"/>
        </w:rPr>
        <w:t xml:space="preserve">[IA02] </w:t>
      </w:r>
      <w:r>
        <w:rPr>
          <w:b/>
        </w:rPr>
        <w:t>What non-financial support (beyond capital) can the investor provide to enhance impact?</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Sector — Fintech</w:t>
      </w:r>
    </w:p>
    <w:p>
      <w:r>
        <w:rPr>
          <w:b/>
          <w:color w:val="0D47A1"/>
        </w:rPr>
        <w:t xml:space="preserve">43.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BrightPath Finance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