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BrightPath Finance</w:t>
      </w:r>
    </w:p>
    <w:p>
      <w:pPr>
        <w:pStyle w:val="ListBullet"/>
      </w:pPr>
      <w:r>
        <w:rPr>
          <w:b/>
        </w:rPr>
        <w:t>Date</w:t>
      </w:r>
      <w:r>
        <w:t>: 2026-10-07</w:t>
      </w:r>
    </w:p>
    <w:p>
      <w:pPr>
        <w:pStyle w:val="ListBullet"/>
      </w:pPr>
      <w:r>
        <w:rPr>
          <w:b/>
        </w:rPr>
        <w:t>Fund</w:t>
      </w:r>
      <w:r>
        <w:t>: Example Climate Fund I</w:t>
      </w:r>
    </w:p>
    <w:p>
      <w:pPr>
        <w:pStyle w:val="ListBullet"/>
      </w:pPr>
      <w:r>
        <w:rPr>
          <w:b/>
        </w:rPr>
        <w:t>Sector</w:t>
      </w:r>
      <w:r>
        <w:t>: fintech</w:t>
      </w:r>
    </w:p>
    <w:p>
      <w:pPr>
        <w:pStyle w:val="ListBullet"/>
      </w:pPr>
      <w:r>
        <w:rPr>
          <w:b/>
        </w:rPr>
        <w:t>IC gate result</w:t>
      </w:r>
      <w:r>
        <w:t xml:space="preserve">: </w:t>
      </w:r>
      <w:r>
        <w:rPr>
          <w:b/>
        </w:rPr>
        <w:t>INSUFFICIENT EVIDENCE</w:t>
      </w:r>
      <w:r>
        <w:t xml:space="preserve"> — Not IC-ready: the failed checks reflect missing evidence, not negative findings. Collect the missing metrics and DD answers, then re-screen.</w:t>
      </w:r>
    </w:p>
    <w:p>
      <w:pPr>
        <w:pStyle w:val="Heading1"/>
      </w:pPr>
      <w:r>
        <w:t>1. Impact Thesis Fit</w:t>
      </w:r>
    </w:p>
    <w:p>
      <w:r>
        <w:t xml:space="preserve">Fund thesis: </w:t>
      </w:r>
      <w:r>
        <w:rPr>
          <w:i/>
        </w:rPr>
        <w:t>Example Climate Fund I</w:t>
      </w:r>
      <w:r>
        <w:t xml:space="preserve"> (impact_first, vintage 2024)</w:t>
      </w:r>
    </w:p>
    <w:p>
      <w:pPr>
        <w:pStyle w:val="ListBullet"/>
      </w:pPr>
      <w:r>
        <w:t xml:space="preserve">Fund-weighted 5D overall: </w:t>
      </w:r>
      <w:r>
        <w:rPr>
          <w:b/>
        </w:rPr>
        <w:t>1.68/5</w:t>
      </w:r>
      <w:r>
        <w:t xml:space="preserve"> (unweighted: 1.7/5)</w:t>
      </w:r>
    </w:p>
    <w:p>
      <w:pPr>
        <w:pStyle w:val="ListBullet"/>
      </w:pPr>
      <w:r>
        <w:t xml:space="preserve">Fund-weighted SDG score: </w:t>
      </w:r>
      <w:r>
        <w:rPr>
          <w:b/>
        </w:rPr>
        <w:t>21.9/100</w:t>
      </w:r>
    </w:p>
    <w:p>
      <w:pPr>
        <w:pStyle w:val="Heading1"/>
      </w:pPr>
      <w:r>
        <w:t>2. 5-Dimension Impact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What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Reporting 2 metrics (0 theme-specific, 14 available)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Who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evidence-based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Reporting 5 metrics (0 theme-specific, 6 available)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How Much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1.8/5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Scale=1.8, Depth=1.8, Duration=1.8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Contribution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Depth=1.5, Duration=1.5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Risk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1.2/5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from sector/description (4 metrics available to track)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Overall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1.7/5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Grade: C</w:t>
            </w:r>
          </w:p>
        </w:tc>
      </w:tr>
    </w:tbl>
    <w:p/>
    <w:p>
      <w:r>
        <w:rPr>
          <w:b/>
        </w:rPr>
        <w:t>Recommendations:</w:t>
      </w:r>
    </w:p>
    <w:p>
      <w:pPr>
        <w:pStyle w:val="ListBullet"/>
      </w:pPr>
      <w:r>
        <w:t>Strengthen outcome measurement: define WHAT outcomes you contribute to with specific metrics</w:t>
      </w:r>
    </w:p>
    <w:p>
      <w:pPr>
        <w:pStyle w:val="ListBullet"/>
      </w:pPr>
      <w:r>
        <w:t>Measure HOW MUCH: track scale (# stakeholders), depth (degree of change), and duration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>
      <w:pPr>
        <w:pStyle w:val="Heading1"/>
      </w:pPr>
      <w:r>
        <w:t>3. SDG Alignment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SDG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Targets matched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 (No Poverty)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43/100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2 (Zero Hunger)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43/100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38/100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8 (Decent Work and Economic Growth)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9 (Industry, Innovation and Infrastructure)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36/100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</w:tbl>
    <w:p/>
    <w:p>
      <w:pPr>
        <w:pStyle w:val="Heading1"/>
      </w:pPr>
      <w:r>
        <w:t>4. Due Diligence Coverage</w:t>
      </w:r>
    </w:p>
    <w:p>
      <w:pPr>
        <w:pStyle w:val="ListBullet"/>
      </w:pPr>
      <w:r>
        <w:t xml:space="preserve">Coverage: </w:t>
      </w:r>
      <w:r>
        <w:rPr>
          <w:i/>
        </w:rPr>
        <w:t>not run</w:t>
      </w:r>
    </w:p>
    <w:p>
      <w:pPr>
        <w:pStyle w:val="Heading1"/>
      </w:pPr>
      <w:r>
        <w:t>5. Greenwashing &amp; Authenticity</w:t>
      </w:r>
    </w:p>
    <w:p>
      <w:pPr>
        <w:pStyle w:val="ListBullet"/>
      </w:pPr>
      <w:r>
        <w:rPr>
          <w:i/>
        </w:rPr>
        <w:t>Greenwashing screen not run.</w:t>
      </w:r>
    </w:p>
    <w:p>
      <w:pPr>
        <w:pStyle w:val="Heading1"/>
      </w:pPr>
      <w:r>
        <w:t>6. IC Gate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Actual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1.7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1.7 vs. min 2.5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Top SDG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42.7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60.0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SDG 1 (No Poverty): 42.7 vs. min 60.0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DD checklist coverage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43.4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70.0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43.4% covered vs. min 70.0%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Greenwashing risk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57.1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Risk 57.1 vs. max 40.0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Forbidden sector check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fintech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mining, extractives, tobacco, controversial weapons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Sector not on the forbidden list</w:t>
            </w:r>
          </w:p>
        </w:tc>
      </w:tr>
    </w:tbl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1.7 vs. min 2.5</w:t>
      </w:r>
    </w:p>
    <w:p>
      <w:pPr>
        <w:pStyle w:val="ListBullet"/>
      </w:pPr>
      <w:r>
        <w:t>❌ SDG 1 (No Poverty): 42.7 vs. min 60.0</w:t>
      </w:r>
    </w:p>
    <w:p>
      <w:pPr>
        <w:pStyle w:val="ListBullet"/>
      </w:pPr>
      <w:r>
        <w:t>❌ 43.4% covered vs. min 70.0%</w:t>
      </w:r>
    </w:p>
    <w:p>
      <w:pPr>
        <w:pStyle w:val="ListBullet"/>
      </w:pPr>
      <w:r>
        <w:t>❌ Risk 57.1 vs. max 40.0</w:t>
      </w:r>
    </w:p>
    <w:p>
      <w:pPr>
        <w:pStyle w:val="Heading1"/>
      </w:pPr>
      <w:r>
        <w:t>7. Impact targets as investment conditions</w:t>
      </w:r>
    </w:p>
    <w:p>
      <w:r>
        <w:rPr>
          <w:i/>
        </w:rPr>
        <w:t>No binding impact targets were set as investment conditions.</w:t>
      </w:r>
    </w:p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>
      <w:r>
        <w:rPr>
          <w:i/>
          <w:color w:val="6B6B6B"/>
          <w:sz w:val="17"/>
        </w:rPr>
        <w:t>AI &amp; automation disclosure: Automated analysis: produced by rules and a deterministic scoring model; no generative AI was used. 3 of 21 scores are estimated from document text rather than reported metrics. Review before relying on it.</w:t>
      </w:r>
    </w:p>
    <w:p>
      <w:r>
        <w:rPr>
          <w:i/>
          <w:color w:val="6B6B6B"/>
          <w:sz w:val="17"/>
        </w:rPr>
        <w:t>Methodology v1.1.0 · config 8fabf9b5a7e2</w:t>
      </w:r>
    </w:p>
    <w:p>
      <w:r>
        <w:rPr>
          <w:i/>
          <w:color w:val="6B6B6B"/>
          <w:sz w:val="17"/>
        </w:rPr>
        <w:t>Generated by Impact Vision — review before submission.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B6B"/>
        <w:sz w:val="16"/>
      </w:rPr>
      <w:t xml:space="preserve">Impact Vision · IC memo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5CA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C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5C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