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Kampung Makmur Sdn Bhd</w:t>
      </w:r>
    </w:p>
    <w:p>
      <w:r>
        <w:t>Source document: kampung_makmur_pig_farm.pdf</w:t>
      </w:r>
    </w:p>
    <w:p>
      <w:r>
        <w:t>Prepared: 2026-10-07   ·   Reviewer: Impact Vision</w:t>
      </w:r>
    </w:p>
    <w:p>
      <w:pPr>
        <w:pStyle w:val="Heading1"/>
      </w:pPr>
      <w:r>
        <w:t>Executive summary</w:t>
      </w:r>
    </w:p>
    <w:p>
      <w:r>
        <w:t xml:space="preserve">Checklist coverage: 40.8% (31 of 76 addressed). </w:t>
      </w:r>
      <w:r>
        <w:t xml:space="preserve">High-priority gaps to raise first: 17. </w:t>
      </w:r>
      <w:r>
        <w:t xml:space="preserve">Average NESTA evidence level of addressed questions: 1.6/5.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Impact thesis &amp; mission</w:t>
      </w:r>
      <w:r>
        <w:t xml:space="preserve"> — 1/3 addressed · 33% coverage · 2 high-priority gaps</w:t>
      </w:r>
    </w:p>
    <w:p>
      <w:pPr>
        <w:pStyle w:val="ListBullet"/>
      </w:pPr>
      <w:r>
        <w:rPr>
          <w:b/>
        </w:rPr>
        <w:t>Impact risk</w:t>
      </w:r>
      <w:r>
        <w:t xml:space="preserve"> — 2/5 addressed · 40% coverage · 2 high-priority gaps</w:t>
      </w:r>
    </w:p>
    <w:p>
      <w:pPr>
        <w:pStyle w:val="ListBullet"/>
      </w:pPr>
      <w:r>
        <w:rPr>
          <w:b/>
        </w:rPr>
        <w:t>What — intended outcomes</w:t>
      </w:r>
      <w:r>
        <w:t xml:space="preserve"> — 2/4 addressed · 50% coverage · 2 high-priority gaps</w:t>
      </w:r>
    </w:p>
    <w:p>
      <w:pPr>
        <w:pStyle w:val="ListBullet"/>
      </w:pPr>
      <w:r>
        <w:rPr>
          <w:b/>
        </w:rPr>
        <w:t>Theory of change</w:t>
      </w:r>
      <w:r>
        <w:t xml:space="preserve"> — 0/1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[IT03] </w:t>
      </w:r>
      <w:r>
        <w:rPr>
          <w:b/>
        </w:rPr>
        <w:t>How does the impact thesis align with the fund's investment mandate and impact goals?</w:t>
      </w:r>
    </w:p>
    <w:p>
      <w:r>
        <w:rPr>
          <w:b/>
        </w:rPr>
        <w:t>Founder response:</w:t>
      </w:r>
    </w:p>
    <w:p>
      <w:pPr>
        <w:spacing w:after="240"/>
        <w:ind w:left="360"/>
      </w:pPr>
      <w:r>
        <w:t xml:space="preserve"> </w:t>
      </w:r>
    </w:p>
    <w:p>
      <w:r>
        <w:rPr>
          <w:b/>
          <w:color w:val="0D47A1"/>
        </w:rPr>
        <w:t xml:space="preserve">2.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3.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[HM05] </w:t>
      </w:r>
      <w:r>
        <w:rPr>
          <w:b/>
        </w:rPr>
        <w:t>Are there quantitative metrics being tracked for scale, depth, and duration?</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10.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11.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12.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13.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14.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15.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Product / service design</w:t>
      </w:r>
    </w:p>
    <w:p>
      <w:r>
        <w:rPr>
          <w:b/>
          <w:color w:val="0D47A1"/>
        </w:rPr>
        <w:t xml:space="preserve">16.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(28 questions)</w:t>
      </w:r>
    </w:p>
    <w:p>
      <w:pPr>
        <w:pStyle w:val="Heading3"/>
      </w:pPr>
      <w:r>
        <w:t>Who — stakeholders &amp; beneficiaries</w:t>
      </w:r>
    </w:p>
    <w:p>
      <w:r>
        <w:rPr>
          <w:b/>
          <w:color w:val="0D47A1"/>
        </w:rPr>
        <w:t xml:space="preserve">18.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19.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20. </w:t>
      </w:r>
      <w:r>
        <w:rPr>
          <w:color w:val="6B7280"/>
          <w:sz w:val="18"/>
        </w:rPr>
        <w:t xml:space="preserve">[CO04] </w:t>
      </w:r>
      <w:r>
        <w:rPr>
          <w:b/>
        </w:rPr>
        <w:t>Is the investor's capital itself additional — would the company have raised from non-impact sources?</w:t>
      </w:r>
    </w:p>
    <w:p>
      <w:r>
        <w:rPr>
          <w:b/>
        </w:rPr>
        <w:t>Founder response:</w:t>
      </w:r>
    </w:p>
    <w:p>
      <w:pPr>
        <w:spacing w:after="240"/>
        <w:ind w:left="360"/>
      </w:pPr>
      <w:r>
        <w:t xml:space="preserve"> </w:t>
      </w:r>
    </w:p>
    <w:p>
      <w:pPr>
        <w:pStyle w:val="Heading3"/>
      </w:pPr>
      <w:r>
        <w:t>Impact risk</w:t>
      </w:r>
    </w:p>
    <w:p>
      <w:r>
        <w:rPr>
          <w:b/>
          <w:color w:val="0D47A1"/>
        </w:rPr>
        <w:t xml:space="preserve">21.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22.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23.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24.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25.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26.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27.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28.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29.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30.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31.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32.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33.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34.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38.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39.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40.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41.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r>
        <w:rPr>
          <w:b/>
          <w:color w:val="0D47A1"/>
        </w:rPr>
        <w:t xml:space="preserve">42. </w:t>
      </w:r>
      <w:r>
        <w:rPr>
          <w:color w:val="6B7280"/>
          <w:sz w:val="18"/>
        </w:rPr>
        <w:t xml:space="preserve">[IA03] </w:t>
      </w:r>
      <w:r>
        <w:rPr>
          <w:b/>
        </w:rPr>
        <w:t>How does this investment fit within the fund's portfolio-level impact strategy?</w:t>
      </w:r>
    </w:p>
    <w:p>
      <w:r>
        <w:rPr>
          <w:b/>
        </w:rPr>
        <w:t>Founder response:</w:t>
      </w:r>
    </w:p>
    <w:p>
      <w:pPr>
        <w:spacing w:after="240"/>
        <w:ind w:left="360"/>
      </w:pPr>
      <w:r>
        <w:t xml:space="preserve"> </w:t>
      </w:r>
    </w:p>
    <w:p>
      <w:pPr>
        <w:pStyle w:val="Heading3"/>
      </w:pPr>
      <w:r>
        <w:t>Sector — Agriculture</w:t>
      </w:r>
    </w:p>
    <w:p>
      <w:r>
        <w:rPr>
          <w:b/>
          <w:color w:val="0D47A1"/>
        </w:rPr>
        <w:t xml:space="preserve">43. </w:t>
      </w:r>
      <w:r>
        <w:rPr>
          <w:color w:val="6B7280"/>
          <w:sz w:val="18"/>
        </w:rPr>
        <w:t xml:space="preserve">[SA02] </w:t>
      </w:r>
      <w:r>
        <w:rPr>
          <w:b/>
        </w:rPr>
        <w:t>What sustainable farming practices does the company promote (regenerative, organic, IPM)?</w:t>
      </w:r>
    </w:p>
    <w:p>
      <w:r>
        <w:rPr>
          <w:b/>
        </w:rPr>
        <w:t>Founder response:</w:t>
      </w:r>
    </w:p>
    <w:p>
      <w:pPr>
        <w:spacing w:after="240"/>
        <w:ind w:left="360"/>
      </w:pPr>
      <w:r>
        <w:t xml:space="preserve"> </w:t>
      </w:r>
    </w:p>
    <w:p>
      <w:r>
        <w:rPr>
          <w:b/>
          <w:color w:val="0D47A1"/>
        </w:rPr>
        <w:t xml:space="preserve">44. </w:t>
      </w:r>
      <w:r>
        <w:rPr>
          <w:color w:val="6B7280"/>
          <w:sz w:val="18"/>
        </w:rPr>
        <w:t xml:space="preserve">[SA03] </w:t>
      </w:r>
      <w:r>
        <w:rPr>
          <w:b/>
        </w:rPr>
        <w:t>How is climate resilience addressed (drought-tolerant, irrigation, crop insurance)?</w:t>
      </w:r>
    </w:p>
    <w:p>
      <w:r>
        <w:rPr>
          <w:b/>
        </w:rPr>
        <w:t>Founder response:</w:t>
      </w:r>
    </w:p>
    <w:p>
      <w:pPr>
        <w:spacing w:after="240"/>
        <w:ind w:left="360"/>
      </w:pPr>
      <w:r>
        <w:t xml:space="preserve"> </w:t>
      </w:r>
    </w:p>
    <w:p>
      <w:r>
        <w:rPr>
          <w:b/>
          <w:color w:val="0D47A1"/>
        </w:rPr>
        <w:t xml:space="preserve">45. </w:t>
      </w:r>
      <w:r>
        <w:rPr>
          <w:color w:val="6B7280"/>
          <w:sz w:val="18"/>
        </w:rPr>
        <w:t xml:space="preserve">[SA05] </w:t>
      </w:r>
      <w:r>
        <w:rPr>
          <w:b/>
        </w:rPr>
        <w:t>What is the company's land tenure and natural resource impact policy?</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Live KPI / metric dashboard export (last 12 months)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Peer / sector benchmark analysis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Kampung Makmur Sdn Bhd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