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2026-10-07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1.75/5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32.7/100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Reporting 2 metrics (1 theme-specific, 25 available)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Reporting 3 metrics (1 theme-specific, 10 available)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Scale=1.5, 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Depth=1.3, Duration=1.3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(4 metrics available to track)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12 (Responsible Consumption and Production)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15 (Life on Land)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40.8%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49.0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49.0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40.8% covered vs. min 70.0%</w:t>
      </w:r>
    </w:p>
    <w:p>
      <w:pPr>
        <w:pStyle w:val="ListBullet"/>
      </w:pPr>
      <w:r>
        <w:t>❌ Risk 49.0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4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v1.1.0 · config 8fabf9b5a7e2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