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2026-10-09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40/100 (moderate) · </w:t>
      </w:r>
      <w:r>
        <w:rPr>
          <w:b/>
        </w:rPr>
        <w:t>data completeness</w:t>
      </w:r>
      <w:r>
        <w:t xml:space="preserve"> 47%</w:t>
      </w:r>
    </w:p>
    <w:p>
      <w:pPr>
        <w:pStyle w:val="ListBullet"/>
      </w:pPr>
      <w:r>
        <w:rPr>
          <w:b/>
        </w:rPr>
        <w:t>People</w:t>
      </w:r>
      <w:r>
        <w:t xml:space="preserve"> (clients): P50 </w:t>
      </w:r>
      <w:r>
        <w:rPr>
          <w:b/>
        </w:rPr>
        <w:t>9,000</w:t>
      </w:r>
      <w:r>
        <w:t xml:space="preserve"> depth-weighted person-years (P10 2,700 – P90 30,000; wide uncertainty)</w:t>
      </w:r>
    </w:p>
    <w:p>
      <w:r>
        <w:rPr>
          <w:b/>
        </w:rPr>
        <w:t>Evidence plan</w:t>
      </w:r>
    </w:p>
    <w:p>
      <w:r>
        <w:t>1. Compare with a group that did not get the product (a comparison group or a credible baseline), ideally run by someone independent. — Moves evidence from level 2 to 3, nets out deadweight and narrows the range (now ×11.1 from P10 to P90).</w:t>
      </w:r>
    </w:p>
    <w:p>
      <w:r>
        <w:t>2. Back the main figures with data: monitoring records, surveys or audited accounts. — Evidence quality is moderate (40/100).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1.73/5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18.9/100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0 of 14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5 metrics reported · 0 of 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Scale=2.0, Depth=2.0, Duration=2.0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35/100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37.8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Equality): 37.8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5 (Gender Equality): 37.8 vs. min 60.0</w:t>
      </w:r>
    </w:p>
    <w:p>
      <w:pPr>
        <w:pStyle w:val="ListBullet"/>
      </w:pPr>
      <w:r>
        <w:t>❌ 43.1% covered vs. min 70.0%</w:t>
      </w:r>
    </w:p>
    <w:p>
      <w:pPr>
        <w:pStyle w:val="ListBullet"/>
      </w:pPr>
      <w:r>
        <w:t>❌ Risk 48.0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0.19.0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