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57/100 (moderate)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21,000</w:t>
      </w:r>
      <w:r>
        <w:t xml:space="preserve"> depth-weighted person-years (P10 8,300 – P90 57,000; wide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32,000</w:t>
      </w:r>
      <w:r>
        <w:t xml:space="preserve"> tCO2e (P10 12,000 – P90 81,000; wide uncertainty)</w:t>
      </w:r>
    </w:p>
    <w:p>
      <w:r>
        <w:rPr>
          <w:b/>
        </w:rPr>
        <w:t>Evidence plan</w:t>
      </w:r>
    </w:p>
    <w:p>
      <w:r>
        <w:t>1. Have the headline reach figure (42,000 households) verified by a third party. — Reach drives most of the remaining uncertainty.</w:t>
      </w:r>
    </w:p>
    <w:p>
      <w:r>
        <w:t>2. Report the sector's core metrics: Energy Generated for Sale: Renewable, Energy Capacity of Products Sold, Client Feedback System. — Only 18% of the core set is reported.</w:t>
      </w:r>
    </w:p>
    <w:p>
      <w:r>
        <w:t>3. Back the main figures with data: monitoring records, surveys or audited accounts. — Evidence quality is moderate (57/100).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1.88/5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 metric reported · 1 of 16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0 of 1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34.0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34.0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0.18.0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