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Kampung Makmur Sdn Bhd</w:t>
      </w:r>
    </w:p>
    <w:p>
      <w:r>
        <w:t>Source document: kampung_makmur_pig_farm.pdf</w:t>
      </w:r>
    </w:p>
    <w:p>
      <w:r>
        <w:t>Prepared: 2026-10-08   ·   Reviewer: Impact Vision</w:t>
      </w:r>
    </w:p>
    <w:p>
      <w:pPr>
        <w:pStyle w:val="Heading1"/>
      </w:pPr>
      <w:r>
        <w:t>Executive summary</w:t>
      </w:r>
    </w:p>
    <w:p>
      <w:r>
        <w:t xml:space="preserve">Checklist coverage: 41.7% (30 of 72 addressed). </w:t>
      </w:r>
      <w:r>
        <w:t xml:space="preserve">High-priority gaps to raise first: 16. </w:t>
      </w:r>
      <w:r>
        <w:t xml:space="preserve">Average NESTA evidence level of addressed questions: 1.6/5.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Impact risk</w:t>
      </w:r>
      <w:r>
        <w:t xml:space="preserve"> — 2/5 addressed · 40% coverage · 2 high-priority gaps</w:t>
      </w:r>
    </w:p>
    <w:p>
      <w:pPr>
        <w:pStyle w:val="ListBullet"/>
      </w:pPr>
      <w:r>
        <w:rPr>
          <w:b/>
        </w:rPr>
        <w:t>What — intended outcomes</w:t>
      </w:r>
      <w:r>
        <w:t xml:space="preserve"> — 2/4 addressed · 50% coverage · 2 high-priority gaps</w:t>
      </w:r>
    </w:p>
    <w:p>
      <w:pPr>
        <w:pStyle w:val="ListBullet"/>
      </w:pPr>
      <w:r>
        <w:rPr>
          <w:b/>
        </w:rPr>
        <w:t>Theory of change</w:t>
      </w:r>
      <w:r>
        <w:t xml:space="preserve"> — 0/1 addressed · 0% coverage · 1 high-priority gap</w:t>
      </w:r>
    </w:p>
    <w:p>
      <w:pPr>
        <w:pStyle w:val="ListBullet"/>
      </w:pPr>
      <w:r>
        <w:rPr>
          <w:b/>
        </w:rPr>
        <w:t>Team &amp; capability</w:t>
      </w:r>
      <w:r>
        <w:t xml:space="preserve"> — 1/4 addressed · 25%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(16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4.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5.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6. </w:t>
      </w:r>
      <w:r>
        <w:rPr>
          <w:color w:val="6B7280"/>
          <w:sz w:val="18"/>
        </w:rPr>
        <w:t xml:space="preserve">[HM05] </w:t>
      </w:r>
      <w:r>
        <w:rPr>
          <w:b/>
        </w:rPr>
        <w:t>Are there quantitative metrics being tracked for scale, depth, and duration?</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Contribution / additionality</w:t>
      </w:r>
    </w:p>
    <w:p>
      <w:r>
        <w:rPr>
          <w:b/>
          <w:color w:val="0D47A1"/>
        </w:rPr>
        <w:t xml:space="preserve">7.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8.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9.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10.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11.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12.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13.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14.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Product / service design</w:t>
      </w:r>
    </w:p>
    <w:p>
      <w:r>
        <w:rPr>
          <w:b/>
          <w:color w:val="0D47A1"/>
        </w:rPr>
        <w:t xml:space="preserve">15.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16.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(26 questions)</w:t>
      </w:r>
    </w:p>
    <w:p>
      <w:pPr>
        <w:pStyle w:val="Heading3"/>
      </w:pPr>
      <w:r>
        <w:t>Who — stakeholders &amp; beneficiaries</w:t>
      </w:r>
    </w:p>
    <w:p>
      <w:r>
        <w:rPr>
          <w:b/>
          <w:color w:val="0D47A1"/>
        </w:rPr>
        <w:t xml:space="preserve">17.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18.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Impact risk</w:t>
      </w:r>
    </w:p>
    <w:p>
      <w:r>
        <w:rPr>
          <w:b/>
          <w:color w:val="0D47A1"/>
        </w:rPr>
        <w:t xml:space="preserve">19.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20.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21.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22.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23.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24.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25.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26.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27.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28.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29.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30.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31.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32.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33.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34.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35.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36.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37.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38.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39.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3"/>
      </w:pPr>
      <w:r>
        <w:t>Sector — Agriculture</w:t>
      </w:r>
    </w:p>
    <w:p>
      <w:r>
        <w:rPr>
          <w:b/>
          <w:color w:val="0D47A1"/>
        </w:rPr>
        <w:t xml:space="preserve">40. </w:t>
      </w:r>
      <w:r>
        <w:rPr>
          <w:color w:val="6B7280"/>
          <w:sz w:val="18"/>
        </w:rPr>
        <w:t xml:space="preserve">[SA02] </w:t>
      </w:r>
      <w:r>
        <w:rPr>
          <w:b/>
        </w:rPr>
        <w:t>What sustainable farming practices does the company promote (regenerative, organic, IPM)?</w:t>
      </w:r>
    </w:p>
    <w:p>
      <w:r>
        <w:rPr>
          <w:b/>
        </w:rPr>
        <w:t>Founder response:</w:t>
      </w:r>
    </w:p>
    <w:p>
      <w:pPr>
        <w:spacing w:after="240"/>
        <w:ind w:left="360"/>
      </w:pPr>
      <w:r>
        <w:t xml:space="preserve"> </w:t>
      </w:r>
    </w:p>
    <w:p>
      <w:r>
        <w:rPr>
          <w:b/>
          <w:color w:val="0D47A1"/>
        </w:rPr>
        <w:t xml:space="preserve">41. </w:t>
      </w:r>
      <w:r>
        <w:rPr>
          <w:color w:val="6B7280"/>
          <w:sz w:val="18"/>
        </w:rPr>
        <w:t xml:space="preserve">[SA03] </w:t>
      </w:r>
      <w:r>
        <w:rPr>
          <w:b/>
        </w:rPr>
        <w:t>How is climate resilience addressed (drought-tolerant, irrigation, crop insurance)?</w:t>
      </w:r>
    </w:p>
    <w:p>
      <w:r>
        <w:rPr>
          <w:b/>
        </w:rPr>
        <w:t>Founder response:</w:t>
      </w:r>
    </w:p>
    <w:p>
      <w:pPr>
        <w:spacing w:after="240"/>
        <w:ind w:left="360"/>
      </w:pPr>
      <w:r>
        <w:t xml:space="preserve"> </w:t>
      </w:r>
    </w:p>
    <w:p>
      <w:r>
        <w:rPr>
          <w:b/>
          <w:color w:val="0D47A1"/>
        </w:rPr>
        <w:t xml:space="preserve">42. </w:t>
      </w:r>
      <w:r>
        <w:rPr>
          <w:color w:val="6B7280"/>
          <w:sz w:val="18"/>
        </w:rPr>
        <w:t xml:space="preserve">[SA05] </w:t>
      </w:r>
      <w:r>
        <w:rPr>
          <w:b/>
        </w:rPr>
        <w:t>What is the company's land tenure and natural resource impact policy?</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Live KPI / metric dashboard export (last 12 months)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Peer / sector benchmark analysis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Kampung Makmur Sdn Bhd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