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Investment Committee Memo — BrightPath Finance</w:t>
      </w:r>
    </w:p>
    <w:p>
      <w:pPr>
        <w:pStyle w:val="ListBullet"/>
      </w:pPr>
      <w:r>
        <w:rPr>
          <w:b/>
        </w:rPr>
        <w:t>Date</w:t>
      </w:r>
      <w:r>
        <w:t>: 2026-10-09</w:t>
      </w:r>
    </w:p>
    <w:p>
      <w:pPr>
        <w:pStyle w:val="ListBullet"/>
      </w:pPr>
      <w:r>
        <w:rPr>
          <w:b/>
        </w:rPr>
        <w:t>Fund</w:t>
      </w:r>
      <w:r>
        <w:t>: Example Climate Fund I</w:t>
      </w:r>
    </w:p>
    <w:p>
      <w:pPr>
        <w:pStyle w:val="ListBullet"/>
      </w:pPr>
      <w:r>
        <w:rPr>
          <w:b/>
        </w:rPr>
        <w:t>Sector</w:t>
      </w:r>
      <w:r>
        <w:t>: fintech</w:t>
      </w:r>
    </w:p>
    <w:p>
      <w:pPr>
        <w:pStyle w:val="ListBullet"/>
      </w:pPr>
      <w:r>
        <w:rPr>
          <w:b/>
        </w:rPr>
        <w:t>IC gate result</w:t>
      </w:r>
      <w:r>
        <w:t xml:space="preserve">: </w:t>
      </w:r>
      <w:r>
        <w:rPr>
          <w:b/>
        </w:rPr>
        <w:t>Evidence plan required</w:t>
      </w:r>
      <w:r>
        <w:t xml:space="preserve"> — Not a negative finding: collect the evidence below, biggest effect on the answer first.</w:t>
      </w:r>
    </w:p>
    <w:p>
      <w:pPr>
        <w:pStyle w:val="ListBullet"/>
      </w:pPr>
      <w:r>
        <w:rPr>
          <w:b/>
        </w:rPr>
        <w:t>Fund thesis checks</w:t>
      </w:r>
      <w:r>
        <w:t>: INSUFFICIENT EVIDENCE</w:t>
      </w:r>
    </w:p>
    <w:p>
      <w:pPr>
        <w:pStyle w:val="Heading1"/>
      </w:pPr>
      <w:r>
        <w:t>Expected impact (methodology 2.0)</w:t>
      </w:r>
    </w:p>
    <w:p>
      <w:pPr>
        <w:pStyle w:val="ListBullet"/>
      </w:pPr>
      <w:r>
        <w:rPr>
          <w:b/>
        </w:rPr>
        <w:t>Evidence quality</w:t>
      </w:r>
      <w:r>
        <w:t xml:space="preserve">: 40/100 (moderate) · </w:t>
      </w:r>
      <w:r>
        <w:rPr>
          <w:b/>
        </w:rPr>
        <w:t>data completeness</w:t>
      </w:r>
      <w:r>
        <w:t xml:space="preserve"> 47%</w:t>
      </w:r>
    </w:p>
    <w:p>
      <w:pPr>
        <w:pStyle w:val="ListBullet"/>
      </w:pPr>
      <w:r>
        <w:rPr>
          <w:b/>
        </w:rPr>
        <w:t>People</w:t>
      </w:r>
      <w:r>
        <w:t xml:space="preserve"> (clients): P50 </w:t>
      </w:r>
      <w:r>
        <w:rPr>
          <w:b/>
        </w:rPr>
        <w:t>9,000</w:t>
      </w:r>
      <w:r>
        <w:t xml:space="preserve"> depth-weighted person-years (P10 2,700 – P90 30,000; wide uncertainty)</w:t>
      </w:r>
    </w:p>
    <w:p>
      <w:r>
        <w:rPr>
          <w:b/>
        </w:rPr>
        <w:t>Evidence plan</w:t>
      </w:r>
    </w:p>
    <w:p>
      <w:r>
        <w:t>1. Compare with a group that did not get the product (a comparison group or a credible baseline), ideally run by someone independent. — Moves evidence from level 2 to 3, nets out deadweight and narrows the range (now ×11.1 from P10 to P90).</w:t>
      </w:r>
    </w:p>
    <w:p>
      <w:r>
        <w:t>2. Back the main figures with data: monitoring records, surveys or audited accounts. — Evidence quality is moderate (40/100).</w:t>
      </w:r>
    </w:p>
    <w:p>
      <w:pPr>
        <w:pStyle w:val="Heading1"/>
      </w:pPr>
      <w:r>
        <w:t>1. Impact Thesis Fit</w:t>
      </w:r>
    </w:p>
    <w:p>
      <w:r>
        <w:t xml:space="preserve">Fund thesis: </w:t>
      </w:r>
      <w:r>
        <w:rPr>
          <w:i/>
        </w:rPr>
        <w:t>Example Climate Fund I</w:t>
      </w:r>
      <w:r>
        <w:t xml:space="preserve"> (impact_first, vintage 2024)</w:t>
      </w:r>
    </w:p>
    <w:p>
      <w:pPr>
        <w:pStyle w:val="ListBullet"/>
      </w:pPr>
      <w:r>
        <w:t xml:space="preserve">Fund-weighted 5D overall: </w:t>
      </w:r>
      <w:r>
        <w:rPr>
          <w:b/>
        </w:rPr>
        <w:t>1.73/5</w:t>
      </w:r>
      <w:r>
        <w:t xml:space="preserve"> (unweighted: 1.7/5)</w:t>
      </w:r>
    </w:p>
    <w:p>
      <w:pPr>
        <w:pStyle w:val="ListBullet"/>
      </w:pPr>
      <w:r>
        <w:t xml:space="preserve">Fund-weighted SDG score: </w:t>
      </w:r>
      <w:r>
        <w:rPr>
          <w:b/>
        </w:rPr>
        <w:t>18.9/100</w:t>
      </w:r>
    </w:p>
    <w:p>
      <w:pPr>
        <w:pStyle w:val="Heading1"/>
      </w:pPr>
      <w:r>
        <w:t>2. 5-Dimension Impact Score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Dimension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What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 metrics reported · 0 of 14 reference metrics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Who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evidence-based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5 metrics reported · 0 of 6 reference metrics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How Much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2.0/5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Scale=2.0, Depth=2.0, Duration=2.0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Contribution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Depth=1.5, Duration=1.5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Risk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1.2/5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 from sector/description · 4 reference metrics to track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Overall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1.7/5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Grade: C</w:t>
            </w:r>
          </w:p>
        </w:tc>
      </w:tr>
    </w:tbl>
    <w:p/>
    <w:p>
      <w:r>
        <w:rPr>
          <w:b/>
        </w:rPr>
        <w:t>Recommendations:</w:t>
      </w:r>
    </w:p>
    <w:p>
      <w:pPr>
        <w:pStyle w:val="ListBullet"/>
      </w:pPr>
      <w:r>
        <w:t>Strengthen outcome measurement: define WHAT outcomes you contribute to with specific metrics</w:t>
      </w:r>
    </w:p>
    <w:p>
      <w:pPr>
        <w:pStyle w:val="ListBullet"/>
      </w:pPr>
      <w:r>
        <w:t>Assess CONTRIBUTION: establish counterfactual or benchmark comparison</w:t>
      </w:r>
    </w:p>
    <w:p>
      <w:pPr>
        <w:pStyle w:val="ListBullet"/>
      </w:pPr>
      <w:r>
        <w:t>Evaluate RISK: assess evidence risk, execution risk, and external risk factors</w:t>
      </w:r>
    </w:p>
    <w:p>
      <w:pPr>
        <w:pStyle w:val="Heading1"/>
      </w:pPr>
      <w:r>
        <w:t>3. SDG Alignment (top 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SDG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Targets matched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5 (Gender Equality)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38/100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1 (No Poverty)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38/100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8 (Decent Work and Economic Growth)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37/100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9 (Industry, Innovation and Infrastructure)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36/100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2 (Zero Hunger)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35/100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</w:tbl>
    <w:p/>
    <w:p>
      <w:pPr>
        <w:pStyle w:val="Heading1"/>
      </w:pPr>
      <w:r>
        <w:t>4. Due Diligence Coverage</w:t>
      </w:r>
    </w:p>
    <w:p>
      <w:pPr>
        <w:pStyle w:val="ListBullet"/>
      </w:pPr>
      <w:r>
        <w:t xml:space="preserve">Coverage: </w:t>
      </w:r>
      <w:r>
        <w:rPr>
          <w:i/>
        </w:rPr>
        <w:t>not run</w:t>
      </w:r>
    </w:p>
    <w:p>
      <w:pPr>
        <w:pStyle w:val="Heading1"/>
      </w:pPr>
      <w:r>
        <w:t>5. Greenwashing &amp; Authenticity</w:t>
      </w:r>
    </w:p>
    <w:p>
      <w:pPr>
        <w:pStyle w:val="ListBullet"/>
      </w:pPr>
      <w:r>
        <w:rPr>
          <w:i/>
        </w:rPr>
        <w:t>Greenwashing screen not run.</w:t>
      </w:r>
    </w:p>
    <w:p>
      <w:pPr>
        <w:pStyle w:val="Heading1"/>
      </w:pPr>
      <w:r>
        <w:t>6. IC Gate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Check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Status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Actual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Threshold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1.7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2.5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1.7 vs. min 2.5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Top SDG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37.8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60.0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SDG 5 (Gender Equality): 37.8 vs. min 60.0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DD checklist coverage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43.1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70.0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43.1% covered vs. min 70.0%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Greenwashing risk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48.0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Risk 48.0 vs. max 40.0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Forbidden sector check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pass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fintech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mining, extractives, tobacco, controversial weapons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Sector not on the forbidden list</w:t>
            </w:r>
          </w:p>
        </w:tc>
      </w:tr>
    </w:tbl>
    <w:p/>
    <w:p>
      <w:pPr>
        <w:pStyle w:val="Heading2"/>
      </w:pPr>
      <w:r>
        <w:t>Blocking failures</w:t>
      </w:r>
    </w:p>
    <w:p>
      <w:pPr>
        <w:pStyle w:val="ListBullet"/>
      </w:pPr>
      <w:r>
        <w:t>❌ 5D overall 1.7 vs. min 2.5</w:t>
      </w:r>
    </w:p>
    <w:p>
      <w:pPr>
        <w:pStyle w:val="ListBullet"/>
      </w:pPr>
      <w:r>
        <w:t>❌ SDG 5 (Gender Equality): 37.8 vs. min 60.0</w:t>
      </w:r>
    </w:p>
    <w:p>
      <w:pPr>
        <w:pStyle w:val="ListBullet"/>
      </w:pPr>
      <w:r>
        <w:t>❌ 43.1% covered vs. min 70.0%</w:t>
      </w:r>
    </w:p>
    <w:p>
      <w:pPr>
        <w:pStyle w:val="ListBullet"/>
      </w:pPr>
      <w:r>
        <w:t>❌ Risk 48.0 vs. max 40.0</w:t>
      </w:r>
    </w:p>
    <w:p>
      <w:pPr>
        <w:pStyle w:val="Heading1"/>
      </w:pPr>
      <w:r>
        <w:t>7. Impact targets as investment conditions</w:t>
      </w:r>
    </w:p>
    <w:p>
      <w:r>
        <w:rPr>
          <w:i/>
        </w:rPr>
        <w:t>No binding impact targets were set as investment conditions.</w:t>
      </w:r>
    </w:p>
    <w:p>
      <w:pPr>
        <w:pStyle w:val="Heading1"/>
      </w:pPr>
      <w:r>
        <w:t>8. Recommendation</w:t>
      </w:r>
    </w:p>
    <w:p>
      <w:pPr>
        <w:pStyle w:val="IntenseQuote"/>
      </w:pPr>
      <w:r>
        <w:t>Not IC-ready: the failed checks reflect missing evidence, not negative findings. Collect the missing metrics and DD answers, then re-screen.</w:t>
      </w:r>
    </w:p>
    <w:p>
      <w:r>
        <w:rPr>
          <w:i/>
          <w:color w:val="6B6B6B"/>
          <w:sz w:val="17"/>
        </w:rPr>
        <w:t>AI &amp; automation disclosure: Automated analysis: produced by rules and a deterministic scoring model; no generative AI was used. 2 of 21 scores are estimated from document text rather than reported metrics. Review before relying on it.</w:t>
      </w:r>
    </w:p>
    <w:p>
      <w:r>
        <w:rPr>
          <w:i/>
          <w:color w:val="6B6B6B"/>
          <w:sz w:val="17"/>
        </w:rPr>
        <w:t>Methodology v1.2.0 · config ae3e77ecaccf</w:t>
      </w:r>
    </w:p>
    <w:p>
      <w:r>
        <w:rPr>
          <w:i/>
          <w:color w:val="6B6B6B"/>
          <w:sz w:val="17"/>
        </w:rPr>
        <w:t>Generated by Impact Vision — review before submission.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B6B6B"/>
        <w:sz w:val="16"/>
      </w:rPr>
      <w:t xml:space="preserve">Impact Vision · IC memo · Page </w:t>
    </w: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C5CA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C5CA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C5CA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11111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Impact Vision 0.19.1</dc:creator>
  <cp:keywords>digitalsourcetype=http://cv.iptc.org/newscodes/digitalsourcetype/algorithmicMedia</cp:keywords>
  <dc:description>Machine-generated document: produced automatically from the supplied inputs; it may contain automatically extracted or estimated figures. Review before relying on it.</dc:description>
  <cp:lastModifiedBy/>
  <cp:revision>1</cp:revision>
  <dcterms:created xsi:type="dcterms:W3CDTF">2013-12-23T23:15:00Z</dcterms:created>
  <dcterms:modified xsi:type="dcterms:W3CDTF">2013-12-23T23:15:00Z</dcterms:modified>
  <cp:category>Machine-generated (EU AI Act Art 50 disclosure in comments)</cp:category>
</cp:coreProperties>
</file>