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2026-10-09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63/100 (good)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61</w:t>
      </w:r>
      <w:r>
        <w:t xml:space="preserve"> depth-weighted person-years (P10 26 – P90 140; moderate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860</w:t>
      </w:r>
      <w:r>
        <w:t xml:space="preserve"> tCO2e (P10 300 – P90 2,300; wide uncertainty)</w:t>
      </w:r>
    </w:p>
    <w:p>
      <w:r>
        <w:rPr>
          <w:b/>
        </w:rPr>
        <w:t>Evidence plan</w:t>
      </w:r>
    </w:p>
    <w:p>
      <w:r>
        <w:t>1. Report the sector's core metrics: Payments to Supplier Individuals: Smallholder, Water Withdrawn, Waste Produced: Total. — Only 18% of the core set is reported.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1.95/5</w:t>
      </w:r>
      <w:r>
        <w:t xml:space="preserve"> (unweighted: 1.9/5)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1.9/5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Depth=1.9, Duration=1.9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1.9/5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1.9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1.9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1.9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0.19.1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