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2026-10-07   ·   Reviewer: Impact Vision</w:t>
      </w:r>
    </w:p>
    <w:p>
      <w:pPr>
        <w:pStyle w:val="Heading1"/>
      </w:pPr>
      <w:r>
        <w:t>Executive summary</w:t>
      </w:r>
    </w:p>
    <w:p>
      <w:r>
        <w:t xml:space="preserve">Checklist coverage: 40.8% (31 of 76 addressed). </w:t>
      </w:r>
      <w:r>
        <w:t xml:space="preserve">High-priority gaps to raise first: 17.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thesis &amp; mission</w:t>
      </w:r>
      <w:r>
        <w:t xml:space="preserve"> — 1/3 addressed · 33%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[IT03] </w:t>
      </w:r>
      <w:r>
        <w:rPr>
          <w:b/>
        </w:rPr>
        <w:t>How does the impact thesis align with the fund's investment mandate and impact goals?</w:t>
      </w:r>
    </w:p>
    <w:p>
      <w:r>
        <w:rPr>
          <w:b/>
        </w:rPr>
        <w:t>Founder response:</w:t>
      </w:r>
    </w:p>
    <w:p>
      <w:pPr>
        <w:spacing w:after="240"/>
        <w:ind w:left="360"/>
      </w:pPr>
      <w:r>
        <w:t xml:space="preserve"> </w:t>
      </w:r>
    </w:p>
    <w:p>
      <w:r>
        <w:rPr>
          <w:b/>
          <w:color w:val="0D47A1"/>
        </w:rPr>
        <w:t xml:space="preserve">2.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3.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10.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11.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12.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13.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14.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15.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16.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(28 questions)</w:t>
      </w:r>
    </w:p>
    <w:p>
      <w:pPr>
        <w:pStyle w:val="Heading3"/>
      </w:pPr>
      <w:r>
        <w:t>Who — stakeholders &amp; beneficiaries</w:t>
      </w:r>
    </w:p>
    <w:p>
      <w:r>
        <w:rPr>
          <w:b/>
          <w:color w:val="0D47A1"/>
        </w:rPr>
        <w:t xml:space="preserve">18.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19.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Contribution / additionality</w:t>
      </w:r>
    </w:p>
    <w:p>
      <w:r>
        <w:rPr>
          <w:b/>
          <w:color w:val="0D47A1"/>
        </w:rPr>
        <w:t xml:space="preserve">20.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21.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22.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23.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24.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25.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26.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27.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34.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38.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39.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40.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41.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42. </w:t>
      </w:r>
      <w:r>
        <w:rPr>
          <w:color w:val="6B7280"/>
          <w:sz w:val="18"/>
        </w:rPr>
        <w:t xml:space="preserve">[IA03] </w:t>
      </w:r>
      <w:r>
        <w:rPr>
          <w:b/>
        </w:rPr>
        <w:t>How does this investment fit within the fund's portfolio-level impact strategy?</w:t>
      </w:r>
    </w:p>
    <w:p>
      <w:r>
        <w:rPr>
          <w:b/>
        </w:rPr>
        <w:t>Founder response:</w:t>
      </w:r>
    </w:p>
    <w:p>
      <w:pPr>
        <w:spacing w:after="240"/>
        <w:ind w:left="360"/>
      </w:pPr>
      <w:r>
        <w:t xml:space="preserve"> </w:t>
      </w:r>
    </w:p>
    <w:p>
      <w:pPr>
        <w:pStyle w:val="Heading3"/>
      </w:pPr>
      <w:r>
        <w:t>Sector — Agriculture</w:t>
      </w:r>
    </w:p>
    <w:p>
      <w:r>
        <w:rPr>
          <w:b/>
          <w:color w:val="0D47A1"/>
        </w:rPr>
        <w:t xml:space="preserve">43.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44.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45.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