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2026-10-07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1.68/5</w:t>
      </w:r>
      <w:r>
        <w:t xml:space="preserve"> (unweighted: 1.6/5)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 metric reported · 1 of 16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0 of 1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 (adverse impact penalty -0.3)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1.6/5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Define WHO: specify target demographics, geography, and stakeholder characteristics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1.6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1.6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39.5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39.5%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warn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46.0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46.0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1.6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39.5% covered vs. min 70.0%</w:t>
      </w:r>
    </w:p>
    <w:p>
      <w:pPr>
        <w:pStyle w:val="Heading2"/>
      </w:pPr>
      <w:r>
        <w:t>Warnings</w:t>
      </w:r>
    </w:p>
    <w:p>
      <w:pPr>
        <w:pStyle w:val="ListBullet"/>
      </w:pPr>
      <w:r>
        <w:t>⚠️ Risk 46.0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v1.1.0 · config 8fabf9b5a7e2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