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0855199"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0855200"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0855201"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0855202"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contoh</w:t>
      </w:r>
      <w:proofErr w:type="gramEnd"/>
      <w:r>
        <w:rPr>
          <w:rFonts w:ascii="Times New Roman" w:hAnsi="Times New Roman" w:cs="Times New Roman"/>
          <w:sz w:val="24"/>
          <w:szCs w:val="24"/>
        </w:rPr>
        <w:t xml:space="preserve">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0855203"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0855204"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0855205"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w:t>
      </w:r>
      <w:proofErr w:type="gramStart"/>
      <w:r w:rsidR="007C3EF2">
        <w:rPr>
          <w:rFonts w:ascii="Times New Roman" w:hAnsi="Times New Roman" w:cs="Times New Roman"/>
          <w:sz w:val="24"/>
          <w:szCs w:val="24"/>
        </w:rPr>
        <w:t>cara</w:t>
      </w:r>
      <w:proofErr w:type="gramEnd"/>
      <w:r w:rsidR="007C3EF2">
        <w:rPr>
          <w:rFonts w:ascii="Times New Roman" w:hAnsi="Times New Roman" w:cs="Times New Roman"/>
          <w:sz w:val="24"/>
          <w:szCs w:val="24"/>
        </w:rPr>
        <w:t xml:space="preserve">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w:t>
      </w:r>
      <w:proofErr w:type="gramStart"/>
      <w:r w:rsidRPr="00784D57">
        <w:rPr>
          <w:rFonts w:ascii="Times New Roman" w:hAnsi="Times New Roman" w:cs="Times New Roman"/>
          <w:sz w:val="24"/>
          <w:szCs w:val="24"/>
        </w:rPr>
        <w:t>ini :</w:t>
      </w:r>
      <w:proofErr w:type="gramEnd"/>
      <w:r w:rsidRPr="00784D5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2pt;height:58.4pt" o:ole="">
                  <v:imagedata r:id="rId24" o:title=""/>
                </v:shape>
                <o:OLEObject Type="Embed" ProgID="Visio.Drawing.15" ShapeID="_x0000_i1032" DrawAspect="Content" ObjectID="_1490855206"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4pt" o:ole="">
                  <v:imagedata r:id="rId26" o:title=""/>
                </v:shape>
                <o:OLEObject Type="Embed" ProgID="Visio.Drawing.15" ShapeID="_x0000_i1033" DrawAspect="Content" ObjectID="_1490855207"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3pt" o:ole="">
                  <v:imagedata r:id="rId28" o:title=""/>
                </v:shape>
                <o:OLEObject Type="Embed" ProgID="Visio.Drawing.15" ShapeID="_x0000_i1034" DrawAspect="Content" ObjectID="_1490855208"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85pt" o:ole="">
                  <v:imagedata r:id="rId30" o:title=""/>
                </v:shape>
                <o:OLEObject Type="Embed" ProgID="Visio.Drawing.15" ShapeID="_x0000_i1035" DrawAspect="Content" ObjectID="_1490855209"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75pt;height:56.45pt" o:ole="">
            <v:imagedata r:id="rId32" o:title=""/>
          </v:shape>
          <o:OLEObject Type="Embed" ProgID="Visio.Drawing.15" ShapeID="_x0000_i1036" DrawAspect="Content" ObjectID="_1490855210"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satu ke </w:t>
      </w:r>
      <w:r>
        <w:rPr>
          <w:rFonts w:ascii="Times New Roman" w:hAnsi="Times New Roman" w:cs="Times New Roman"/>
          <w:sz w:val="24"/>
          <w:szCs w:val="24"/>
        </w:rPr>
        <w:t xml:space="preserve">banyak </w:t>
      </w:r>
      <w:r>
        <w:rPr>
          <w:rFonts w:ascii="Times New Roman" w:hAnsi="Times New Roman" w:cs="Times New Roman"/>
          <w:sz w:val="24"/>
          <w:szCs w:val="24"/>
        </w:rPr>
        <w:t>(</w:t>
      </w:r>
      <w:r w:rsidRPr="003643E1">
        <w:rPr>
          <w:rFonts w:ascii="Times New Roman" w:hAnsi="Times New Roman" w:cs="Times New Roman"/>
          <w:i/>
          <w:sz w:val="24"/>
          <w:szCs w:val="24"/>
        </w:rPr>
        <w:t xml:space="preserve">one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w:t>
      </w:r>
      <w:r w:rsidRPr="003643E1">
        <w:rPr>
          <w:rFonts w:ascii="Times New Roman" w:hAnsi="Times New Roman" w:cs="Times New Roman"/>
          <w:i/>
          <w:sz w:val="24"/>
          <w:szCs w:val="24"/>
        </w:rPr>
        <w:t>many</w:t>
      </w:r>
      <w:r w:rsidRPr="003643E1">
        <w:rPr>
          <w:rFonts w:ascii="Times New Roman" w:hAnsi="Times New Roman" w:cs="Times New Roman"/>
          <w:i/>
          <w:sz w:val="24"/>
          <w:szCs w:val="24"/>
        </w:rPr>
        <w:t xml:space="preserve"> relationship</w:t>
      </w:r>
      <w:r>
        <w:rPr>
          <w:rFonts w:ascii="Times New Roman" w:hAnsi="Times New Roman" w:cs="Times New Roman"/>
          <w:sz w:val="24"/>
          <w:szCs w:val="24"/>
        </w:rPr>
        <w:t xml:space="preserve">) menujukkan adanya hubungan antar dua entitas satu dengan yang lain dimana satu entitas </w:t>
      </w:r>
      <w:r>
        <w:rPr>
          <w:rFonts w:ascii="Times New Roman" w:hAnsi="Times New Roman" w:cs="Times New Roman"/>
          <w:sz w:val="24"/>
          <w:szCs w:val="24"/>
        </w:rPr>
        <w:t>dapat memiliki banyak atribut dari entitas yang lain</w:t>
      </w:r>
      <w:r>
        <w:rPr>
          <w:rFonts w:ascii="Times New Roman" w:hAnsi="Times New Roman" w:cs="Times New Roman"/>
          <w:sz w:val="24"/>
          <w:szCs w:val="24"/>
        </w:rPr>
        <w:t xml:space="preserve">. Contohnya seorang </w:t>
      </w:r>
      <w:r w:rsidR="00F221A9">
        <w:rPr>
          <w:rFonts w:ascii="Times New Roman" w:hAnsi="Times New Roman" w:cs="Times New Roman"/>
          <w:sz w:val="24"/>
          <w:szCs w:val="24"/>
        </w:rPr>
        <w:t>angg</w:t>
      </w:r>
      <w:r>
        <w:rPr>
          <w:rFonts w:ascii="Times New Roman" w:hAnsi="Times New Roman" w:cs="Times New Roman"/>
          <w:sz w:val="24"/>
          <w:szCs w:val="24"/>
        </w:rPr>
        <w:t>ota perpustakaan dapat meminjam lebih dari satu buku.</w:t>
      </w:r>
      <w:r>
        <w:rPr>
          <w:rFonts w:ascii="Times New Roman" w:hAnsi="Times New Roman" w:cs="Times New Roman"/>
          <w:sz w:val="24"/>
          <w:szCs w:val="24"/>
        </w:rPr>
        <w:t xml:space="preserve"> </w:t>
      </w:r>
    </w:p>
    <w:p w:rsidR="00EB29BA" w:rsidRPr="00DA54AC" w:rsidRDefault="00EB29BA" w:rsidP="00EB29BA">
      <w:pPr>
        <w:pStyle w:val="ListParagraph"/>
        <w:spacing w:after="0" w:line="480" w:lineRule="auto"/>
        <w:ind w:left="1440"/>
        <w:jc w:val="center"/>
      </w:pPr>
      <w:r>
        <w:object w:dxaOrig="8535" w:dyaOrig="1455">
          <v:shape id="_x0000_i1037" type="#_x0000_t75" style="width:333.4pt;height:57.1pt" o:ole="">
            <v:imagedata r:id="rId34" o:title=""/>
          </v:shape>
          <o:OLEObject Type="Embed" ProgID="Visio.Drawing.15" ShapeID="_x0000_i1037" DrawAspect="Content" ObjectID="_1490855211"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w:t>
      </w:r>
      <w:r>
        <w:rPr>
          <w:rFonts w:ascii="Times New Roman" w:hAnsi="Times New Roman" w:cs="Times New Roman"/>
          <w:sz w:val="24"/>
          <w:szCs w:val="24"/>
        </w:rPr>
        <w:t>banyak</w:t>
      </w:r>
      <w:r>
        <w:rPr>
          <w:rFonts w:ascii="Times New Roman" w:hAnsi="Times New Roman" w:cs="Times New Roman"/>
          <w:sz w:val="24"/>
          <w:szCs w:val="24"/>
        </w:rPr>
        <w:t xml:space="preserve">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3pt;height:53.2pt" o:ole="">
            <v:imagedata r:id="rId36" o:title=""/>
          </v:shape>
          <o:OLEObject Type="Embed" ProgID="Visio.Drawing.15" ShapeID="_x0000_i1038" DrawAspect="Content" ObjectID="_1490855212"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Memilih kelolmpok atribut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proofErr w:type="gramStart"/>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proofErr w:type="gramEnd"/>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w:t>
      </w:r>
      <w:r w:rsidR="00EC404E">
        <w:rPr>
          <w:rFonts w:ascii="Times New Roman" w:hAnsi="Times New Roman" w:cs="Times New Roman"/>
          <w:sz w:val="24"/>
          <w:szCs w:val="24"/>
        </w:rPr>
        <w:lastRenderedPageBreak/>
        <w:t xml:space="preserve">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bookmarkStart w:id="0" w:name="_GoBack"/>
      <w:bookmarkEnd w:id="0"/>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Dalam </w:t>
      </w:r>
      <w:r>
        <w:rPr>
          <w:rFonts w:ascii="Times New Roman" w:hAnsi="Times New Roman" w:cs="Times New Roman"/>
          <w:sz w:val="24"/>
          <w:szCs w:val="24"/>
        </w:rPr>
        <w:t>bentuk normalisasi ketiga</w:t>
      </w:r>
      <w:r>
        <w:rPr>
          <w:rFonts w:ascii="Times New Roman" w:hAnsi="Times New Roman" w:cs="Times New Roman"/>
          <w:sz w:val="24"/>
          <w:szCs w:val="24"/>
        </w:rPr>
        <w:t xml:space="preserve">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w:t>
      </w:r>
      <w:r>
        <w:rPr>
          <w:rFonts w:ascii="Times New Roman" w:hAnsi="Times New Roman" w:cs="Times New Roman"/>
          <w:sz w:val="24"/>
          <w:szCs w:val="24"/>
        </w:rPr>
        <w:t>3</w:t>
      </w:r>
      <w:r>
        <w:rPr>
          <w:rFonts w:ascii="Times New Roman" w:hAnsi="Times New Roman" w:cs="Times New Roman"/>
          <w:sz w:val="24"/>
          <w:szCs w:val="24"/>
        </w:rPr>
        <w:t>NF) mensyaratkan</w:t>
      </w:r>
      <w:r>
        <w:rPr>
          <w:rFonts w:ascii="Times New Roman" w:hAnsi="Times New Roman" w:cs="Times New Roman"/>
          <w:sz w:val="24"/>
          <w:szCs w:val="24"/>
        </w:rPr>
        <w:t xml:space="preserve"> bentuk 2</w:t>
      </w:r>
      <w:r>
        <w:rPr>
          <w:rFonts w:ascii="Times New Roman" w:hAnsi="Times New Roman" w:cs="Times New Roman"/>
          <w:sz w:val="24"/>
          <w:szCs w:val="24"/>
        </w:rPr>
        <w:t>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Apabila ERD sudah terbentuk, maka dengan mudah nantinya penulis dapat menggambarkan database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1E6118" w:rsidRDefault="001E6118" w:rsidP="001E6118">
      <w:pPr>
        <w:pStyle w:val="ListParagraph"/>
        <w:spacing w:after="0" w:line="480" w:lineRule="auto"/>
        <w:ind w:left="360"/>
        <w:rPr>
          <w:rFonts w:ascii="Times New Roman" w:hAnsi="Times New Roman" w:cs="Times New Roman"/>
          <w:b/>
          <w:sz w:val="24"/>
          <w:szCs w:val="24"/>
        </w:rPr>
      </w:pP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F21" w:rsidRDefault="007A4F21" w:rsidP="00F616C4">
      <w:pPr>
        <w:spacing w:after="0" w:line="240" w:lineRule="auto"/>
      </w:pPr>
      <w:r>
        <w:separator/>
      </w:r>
    </w:p>
  </w:endnote>
  <w:endnote w:type="continuationSeparator" w:id="0">
    <w:p w:rsidR="007A4F21" w:rsidRDefault="007A4F21"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36743D">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F21" w:rsidRDefault="007A4F21" w:rsidP="00F616C4">
      <w:pPr>
        <w:spacing w:after="0" w:line="240" w:lineRule="auto"/>
      </w:pPr>
      <w:r>
        <w:separator/>
      </w:r>
    </w:p>
  </w:footnote>
  <w:footnote w:type="continuationSeparator" w:id="0">
    <w:p w:rsidR="007A4F21" w:rsidRDefault="007A4F21"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E01ABF">
          <w:rPr>
            <w:rFonts w:ascii="Times New Roman" w:hAnsi="Times New Roman" w:cs="Times New Roman"/>
            <w:noProof/>
            <w:sz w:val="24"/>
            <w:szCs w:val="24"/>
          </w:rPr>
          <w:t>20</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8"/>
  </w:num>
  <w:num w:numId="4">
    <w:abstractNumId w:val="9"/>
  </w:num>
  <w:num w:numId="5">
    <w:abstractNumId w:val="16"/>
  </w:num>
  <w:num w:numId="6">
    <w:abstractNumId w:val="15"/>
  </w:num>
  <w:num w:numId="7">
    <w:abstractNumId w:val="2"/>
  </w:num>
  <w:num w:numId="8">
    <w:abstractNumId w:val="5"/>
  </w:num>
  <w:num w:numId="9">
    <w:abstractNumId w:val="18"/>
  </w:num>
  <w:num w:numId="10">
    <w:abstractNumId w:val="11"/>
  </w:num>
  <w:num w:numId="11">
    <w:abstractNumId w:val="10"/>
  </w:num>
  <w:num w:numId="12">
    <w:abstractNumId w:val="23"/>
  </w:num>
  <w:num w:numId="13">
    <w:abstractNumId w:val="4"/>
  </w:num>
  <w:num w:numId="14">
    <w:abstractNumId w:val="13"/>
  </w:num>
  <w:num w:numId="15">
    <w:abstractNumId w:val="12"/>
  </w:num>
  <w:num w:numId="16">
    <w:abstractNumId w:val="3"/>
  </w:num>
  <w:num w:numId="17">
    <w:abstractNumId w:val="21"/>
  </w:num>
  <w:num w:numId="18">
    <w:abstractNumId w:val="22"/>
  </w:num>
  <w:num w:numId="19">
    <w:abstractNumId w:val="1"/>
  </w:num>
  <w:num w:numId="20">
    <w:abstractNumId w:val="19"/>
  </w:num>
  <w:num w:numId="21">
    <w:abstractNumId w:val="7"/>
  </w:num>
  <w:num w:numId="22">
    <w:abstractNumId w:val="17"/>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664E"/>
    <w:rsid w:val="001761DA"/>
    <w:rsid w:val="001810F0"/>
    <w:rsid w:val="001826F1"/>
    <w:rsid w:val="00182DEF"/>
    <w:rsid w:val="00190262"/>
    <w:rsid w:val="001A104C"/>
    <w:rsid w:val="001A199E"/>
    <w:rsid w:val="001A22C1"/>
    <w:rsid w:val="001A5489"/>
    <w:rsid w:val="001B0D28"/>
    <w:rsid w:val="001B14EB"/>
    <w:rsid w:val="001B2BEB"/>
    <w:rsid w:val="001B6C09"/>
    <w:rsid w:val="001C2997"/>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378A"/>
    <w:rsid w:val="004C639C"/>
    <w:rsid w:val="004C75E1"/>
    <w:rsid w:val="004D17E7"/>
    <w:rsid w:val="004D25A5"/>
    <w:rsid w:val="004D296D"/>
    <w:rsid w:val="004D5523"/>
    <w:rsid w:val="004D7A54"/>
    <w:rsid w:val="004E54AA"/>
    <w:rsid w:val="00500739"/>
    <w:rsid w:val="005109DD"/>
    <w:rsid w:val="00511DE5"/>
    <w:rsid w:val="00513518"/>
    <w:rsid w:val="00516FF4"/>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1785D"/>
    <w:rsid w:val="006463DA"/>
    <w:rsid w:val="00650DE1"/>
    <w:rsid w:val="0065566B"/>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45B23"/>
    <w:rsid w:val="00752D5E"/>
    <w:rsid w:val="007552BA"/>
    <w:rsid w:val="0075706B"/>
    <w:rsid w:val="007604B7"/>
    <w:rsid w:val="00772429"/>
    <w:rsid w:val="00772C0C"/>
    <w:rsid w:val="00777D0A"/>
    <w:rsid w:val="0078159C"/>
    <w:rsid w:val="00784D57"/>
    <w:rsid w:val="0079239A"/>
    <w:rsid w:val="0079270A"/>
    <w:rsid w:val="007977B0"/>
    <w:rsid w:val="007A0CD8"/>
    <w:rsid w:val="007A4F21"/>
    <w:rsid w:val="007B0222"/>
    <w:rsid w:val="007B706C"/>
    <w:rsid w:val="007B7DE1"/>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699E"/>
    <w:rsid w:val="008B2FE8"/>
    <w:rsid w:val="008C7C71"/>
    <w:rsid w:val="008D10B7"/>
    <w:rsid w:val="008D7F51"/>
    <w:rsid w:val="008E0BF2"/>
    <w:rsid w:val="008E2032"/>
    <w:rsid w:val="008E326F"/>
    <w:rsid w:val="008E6A39"/>
    <w:rsid w:val="00905245"/>
    <w:rsid w:val="00905916"/>
    <w:rsid w:val="00916FEC"/>
    <w:rsid w:val="00925764"/>
    <w:rsid w:val="009345D2"/>
    <w:rsid w:val="00937C97"/>
    <w:rsid w:val="00941222"/>
    <w:rsid w:val="00943268"/>
    <w:rsid w:val="0095029D"/>
    <w:rsid w:val="009528D7"/>
    <w:rsid w:val="009557FF"/>
    <w:rsid w:val="00957FF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4BB3"/>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85E"/>
    <w:rsid w:val="00CE7EB9"/>
    <w:rsid w:val="00CF0D24"/>
    <w:rsid w:val="00CF44DC"/>
    <w:rsid w:val="00CF4D0C"/>
    <w:rsid w:val="00D22F23"/>
    <w:rsid w:val="00D24FD9"/>
    <w:rsid w:val="00D25790"/>
    <w:rsid w:val="00D25CEC"/>
    <w:rsid w:val="00D328F5"/>
    <w:rsid w:val="00D34CA5"/>
    <w:rsid w:val="00D3739D"/>
    <w:rsid w:val="00D43727"/>
    <w:rsid w:val="00D44EA5"/>
    <w:rsid w:val="00D75695"/>
    <w:rsid w:val="00D75DEF"/>
    <w:rsid w:val="00D82106"/>
    <w:rsid w:val="00D830D7"/>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2C7A"/>
    <w:rsid w:val="00E971FE"/>
    <w:rsid w:val="00EB0DE1"/>
    <w:rsid w:val="00EB29BA"/>
    <w:rsid w:val="00EB3423"/>
    <w:rsid w:val="00EB500B"/>
    <w:rsid w:val="00EC39D3"/>
    <w:rsid w:val="00EC404E"/>
    <w:rsid w:val="00EC7B0C"/>
    <w:rsid w:val="00ED293A"/>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63D5"/>
    <w:rsid w:val="00FA30B1"/>
    <w:rsid w:val="00FB327C"/>
    <w:rsid w:val="00FB69A4"/>
    <w:rsid w:val="00FB7514"/>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27B91-A190-402C-85CF-EE36257B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21</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328</cp:revision>
  <dcterms:created xsi:type="dcterms:W3CDTF">2015-04-03T20:08:00Z</dcterms:created>
  <dcterms:modified xsi:type="dcterms:W3CDTF">2015-04-18T02:24:00Z</dcterms:modified>
</cp:coreProperties>
</file>