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orgia" w:cs="Georgia" w:eastAsia="Georgia" w:hAnsi="Georgia"/>
          <w:b/>
          <w:bCs/>
          <w:color w:val="0E1B2C"/>
          <w:sz w:val="40"/>
          <w:szCs w:val="40"/>
        </w:rPr>
        <w:t xml:space="preserve">Aave Carried the Sector: State of DeFi Lending on Ethereum, July 2026</w:t>
      </w:r>
    </w:p>
    <w:p>
      <w:pPr>
        <w:spacing w:after="320"/>
      </w:pPr>
      <w:r>
        <w:rPr>
          <w:rFonts w:ascii="Georgia" w:cs="Georgia" w:eastAsia="Georgia" w:hAnsi="Georgia"/>
          <w:i/>
          <w:iCs/>
          <w:color w:val="404040"/>
          <w:sz w:val="24"/>
          <w:szCs w:val="24"/>
        </w:rPr>
        <w:t xml:space="preserve">Aave V3 was the only major Ethereum lending protocol that grew in July. Growth halved from June, curator concentration deepened, and stablecoin real yield sank to −75 bps below the T-bill.</w:t>
      </w:r>
    </w:p>
    <w:p>
      <w:pPr>
        <w:spacing w:after="220"/>
      </w:pPr>
      <w:r>
        <w:rPr>
          <w:rFonts w:ascii="Georgia" w:cs="Georgia" w:eastAsia="Georgia" w:hAnsi="Georgia"/>
          <w:sz w:val="22"/>
          <w:szCs w:val="22"/>
        </w:rPr>
        <w:t xml:space="preserve">Aave V3 added $649M of net constant-price deposits on Ethereum in July 2026, the only positive reading among the six largest lending protocols large enough to move the sector. The other five, SparkLend, Morpho V1, Fluid, Compound V3, and Euler V2, combined for a net −$96M over the same window. The sector total was +$553M. Strip out Aave V3 and the sector contracted.</w:t>
      </w:r>
    </w:p>
    <w:p>
      <w:pPr>
        <w:spacing w:after="220"/>
      </w:pPr>
      <w:r>
        <w:rPr>
          <w:rFonts w:ascii="Georgia" w:cs="Georgia" w:eastAsia="Georgia" w:hAnsi="Georgia"/>
          <w:sz w:val="22"/>
          <w:szCs w:val="22"/>
        </w:rPr>
        <w:t xml:space="preserve">July halved June's growth. The same six-protocol frame added $1.33B in June and $553M in July, a 58% drop. Two other readings moved with it. Morpho's combined V1 and V2 curator concentration climbed for a second straight month, from an HHI of 2,095 at June 30 to 2,337 at July 31. And the sector's blended stablecoin supply rate closed July at 2.85% against a 3.60% 4-week Treasury bill, a Real Yield Spread of −75 bps, down from −37 bps at the June close.</w:t>
      </w:r>
    </w:p>
    <w:p>
      <w:pPr>
        <w:spacing w:after="220"/>
      </w:pPr>
      <w:r>
        <w:rPr>
          <w:rFonts w:ascii="Georgia" w:cs="Georgia" w:eastAsia="Georgia" w:hAnsi="Georgia"/>
          <w:sz w:val="22"/>
          <w:szCs w:val="22"/>
        </w:rPr>
        <w:t xml:space="preserve">One protocol carrying the sector, concentration climbing at the curator layer, and real yield deepening below the risk-free rate for a second consecutive month: the shape of a depositor market running short of new participants.</w:t>
      </w:r>
    </w:p>
    <w:p>
      <w:pPr>
        <w:pStyle w:val="Heading2"/>
        <w:spacing w:after="200" w:before="340"/>
      </w:pPr>
      <w:r>
        <w:rPr>
          <w:rFonts w:ascii="Georgia" w:cs="Georgia" w:eastAsia="Georgia" w:hAnsi="Georgia"/>
          <w:b/>
          <w:bCs/>
          <w:color w:val="0E1B2C"/>
          <w:sz w:val="28"/>
          <w:szCs w:val="28"/>
        </w:rPr>
        <w:t xml:space="preserve">The growth was collateral</w:t>
      </w:r>
    </w:p>
    <w:p>
      <w:pPr>
        <w:spacing w:after="220"/>
      </w:pPr>
      <w:r>
        <w:rPr>
          <w:rFonts w:ascii="Georgia" w:cs="Georgia" w:eastAsia="Georgia" w:hAnsi="Georgia"/>
          <w:sz w:val="22"/>
          <w:szCs w:val="22"/>
        </w:rPr>
        <w:t xml:space="preserve">Aave V3's inflow did not arrive in stablecoins. USDC on the protocol shed $20M in July, a smaller drain than June's −$162M but the same direction. USDT shed $62M and WETH shed $29M. Against those, the collateral reserves grew: weETH +$285M, sUSDe +$145M, WBTC +$124M, wstETH +$113M, cbBTC +$63M.</w:t>
      </w:r>
    </w:p>
    <w:p>
      <w:pPr>
        <w:spacing w:after="220"/>
      </w:pPr>
      <w:r>
        <w:rPr>
          <w:rFonts w:ascii="Georgia" w:cs="Georgia" w:eastAsia="Georgia" w:hAnsi="Georgia"/>
          <w:sz w:val="22"/>
          <w:szCs w:val="22"/>
        </w:rPr>
        <w:t xml:space="preserve">Inside the liquid restaking complex the flow split rather than moved as a block. weETH took +$285M while rsETH lost $93M, a rotation toward the token with the deepest looping venue on Aave rather than a uniform restaking inflow. The stablecoin picture is similar underneath the headline drain: combined outflow across USDC, USDT, and a maturing Pendle sUSDe reserve totaled roughly −$110M, while combined inflow across sUSDe, USDe, USDTB, and a longer-dated Pendle sUSDe forward totaled roughly +$255M. Net stablecoin position grew about +$145M, but the growth landed in the USDe complex, Ethena's synthetic dollar and its tokenized forwards, while USDC and USDT drained.</w:t>
      </w:r>
    </w:p>
    <w:p>
      <w:pPr>
        <w:spacing w:after="220"/>
      </w:pPr>
      <w:r>
        <w:rPr>
          <w:rFonts w:ascii="Georgia" w:cs="Georgia" w:eastAsia="Georgia" w:hAnsi="Georgia"/>
          <w:sz w:val="22"/>
          <w:szCs w:val="22"/>
        </w:rPr>
        <w:t xml:space="preserve">This is the second consecutive month of the same composition: collateral in, base stablecoins and ETH flat to negative. Aave V3's growth this cycle reflects depositors supplying collateral to borrow against. The 3.27% USDC supply rate, 33 bps under the T-bill, is not what draws them. Two months makes it a pattern rather than a June artifact.</w:t>
      </w:r>
    </w:p>
    <w:p>
      <w:pPr>
        <w:pStyle w:val="Heading2"/>
        <w:spacing w:after="200" w:before="340"/>
      </w:pPr>
      <w:r>
        <w:rPr>
          <w:rFonts w:ascii="Georgia" w:cs="Georgia" w:eastAsia="Georgia" w:hAnsi="Georgia"/>
          <w:b/>
          <w:bCs/>
          <w:color w:val="0E1B2C"/>
          <w:sz w:val="28"/>
          <w:szCs w:val="28"/>
        </w:rPr>
        <w:t xml:space="preserve">Sentora overtook Steakhouse on Morpho</w:t>
      </w:r>
    </w:p>
    <w:p>
      <w:pPr>
        <w:spacing w:after="220"/>
      </w:pPr>
      <w:r>
        <w:rPr>
          <w:rFonts w:ascii="Georgia" w:cs="Georgia" w:eastAsia="Georgia" w:hAnsi="Georgia"/>
          <w:sz w:val="22"/>
          <w:szCs w:val="22"/>
        </w:rPr>
        <w:t xml:space="preserve">Underneath the rising HHI, the curator layer rotated. Sentora grew from 27.65% of Morpho's combined V1+V2 curated TVL at May 31 to 33.56% at July 31, overtaking Steakhouse Financial to become Morpho's largest single curator. Steakhouse held roughly flat over the two months, 31.08% to 31.31%. Gauntlet declined for a second straight month, 18.59% to 13.02%, a 557 bps drop.</w:t>
      </w:r>
    </w:p>
    <w:p>
      <w:pPr>
        <w:spacing w:after="220"/>
      </w:pPr>
      <w:r>
        <w:rPr>
          <w:rFonts w:ascii="Georgia" w:cs="Georgia" w:eastAsia="Georgia" w:hAnsi="Georgia"/>
          <w:sz w:val="22"/>
          <w:szCs w:val="22"/>
        </w:rPr>
        <w:t xml:space="preserve">The crossover ran in two moves. May to June was a direct transfer: Sentora +358 bps, Steakhouse −191 bps, share moving from the incumbent to the challenger. June to July was coincident growth: Sentora and Steakhouse both gained, together +447 bps, with the ground coming from the long tail rather than from each other. Across the full window Sentora added +591 bps and Steakhouse netted +23 bps.</w:t>
      </w:r>
    </w:p>
    <w:p>
      <w:pPr>
        <w:spacing w:after="220"/>
      </w:pPr>
      <w:r>
        <w:rPr>
          <w:rFonts w:ascii="Georgia" w:cs="Georgia" w:eastAsia="Georgia" w:hAnsi="Georgia"/>
          <w:sz w:val="22"/>
          <w:szCs w:val="22"/>
        </w:rPr>
        <w:t xml:space="preserve">The three largest curators run structurally different books. Sentora holds $741M across three concentrated V2 vaults. Steakhouse holds $691M across 18 vaults split evenly between V1 and V2. Gauntlet holds $287M across 22 vaults weighted 82% to V1. Combined top-three share still rose, 74.6% to 77.9%. The aggregate concentration number reads as generic; the composition underneath is one V2-native curator consolidating a concentrated book while the incumbent holds a mixed one and the third retreats into legacy V1 exposure.</w:t>
      </w:r>
    </w:p>
    <w:p>
      <w:pPr>
        <w:pStyle w:val="Heading2"/>
        <w:spacing w:after="200" w:before="340"/>
      </w:pPr>
      <w:r>
        <w:rPr>
          <w:rFonts w:ascii="Georgia" w:cs="Georgia" w:eastAsia="Georgia" w:hAnsi="Georgia"/>
          <w:b/>
          <w:bCs/>
          <w:color w:val="0E1B2C"/>
          <w:sz w:val="28"/>
          <w:szCs w:val="28"/>
        </w:rPr>
        <w:t xml:space="preserve">SparkLend's stablecoin rates now move with Sky governance</w:t>
      </w:r>
    </w:p>
    <w:p>
      <w:pPr>
        <w:spacing w:after="220"/>
      </w:pPr>
      <w:r>
        <w:rPr>
          <w:rFonts w:ascii="Georgia" w:cs="Georgia" w:eastAsia="Georgia" w:hAnsi="Georgia"/>
          <w:sz w:val="22"/>
          <w:szCs w:val="22"/>
        </w:rPr>
        <w:t xml:space="preserve">Five of SparkLend's 18 reserves, all stablecoins, price their borrow rate from Sky governance rather than from pool utilization. On July 23 at 14:43 UTC, Sky's weekly Atlas Edit executive spell executed on-chain and cut the Sky Base Rate, the wholesale cost of the USDS inventory SparkLend lends against as a Sky Agent, from 3.90% to 3.72%, an 18 bps step. SparkLend's on-chain USDC retail borrow rate stepped from 4.42% to 4.28% in the same transaction cycle.</w:t>
      </w:r>
    </w:p>
    <w:p>
      <w:pPr>
        <w:spacing w:after="220"/>
      </w:pPr>
      <w:r>
        <w:rPr>
          <w:rFonts w:ascii="Georgia" w:cs="Georgia" w:eastAsia="Georgia" w:hAnsi="Georgia"/>
          <w:sz w:val="22"/>
          <w:szCs w:val="22"/>
        </w:rPr>
        <w:t xml:space="preserve">The five Sky-linked reserves are DAI, USDC, USDT, USDS, and PYUSD. On-chain reads show all five point their variable-rate model at a single Sky-linked rate source contract at 0x57027B62, which references sUSDS and derives from the Base Rate. All five stepped roughly 18 bps on July 23. None of SparkLend's other 13 reserves, the collateral book of WETH, wstETH, WBTC and the rest, moved that day; they clear on standard Aave-shape utilization curves. SparkLend is a hybrid: a Sky-priced stablecoin book bolted onto an Aave-style collateral book.</w:t>
      </w:r>
    </w:p>
    <w:p>
      <w:pPr>
        <w:spacing w:after="220"/>
      </w:pPr>
      <w:r>
        <w:rPr>
          <w:rFonts w:ascii="Georgia" w:cs="Georgia" w:eastAsia="Georgia" w:hAnsi="Georgia"/>
          <w:sz w:val="22"/>
          <w:szCs w:val="22"/>
        </w:rPr>
        <w:t xml:space="preserve">An earlier step on July 6 cut USDC from 4.61% to 4.42%, but the Base Rate did not move that day and the other four Sky-linked stablecoins held. July 6 was SparkLend compressing its own markup over the wholesale rate; July 23 was Sky cutting the wholesale rate itself. The markup narrowed from 0.71 pp on July 22 to 0.56 pp on July 23. The mechanism matters for any cross-protocol rate read. Comparing Fluid's 4.66% USDC supply APY to SparkLend's 3.47% is not a like-for-like: one rate reflects lender-borrower matching, the other reflects a Sky governance decision.</w:t>
      </w:r>
    </w:p>
    <w:p>
      <w:pPr>
        <w:pStyle w:val="Heading2"/>
        <w:spacing w:after="200" w:before="340"/>
      </w:pPr>
      <w:r>
        <w:rPr>
          <w:rFonts w:ascii="Georgia" w:cs="Georgia" w:eastAsia="Georgia" w:hAnsi="Georgia"/>
          <w:b/>
          <w:bCs/>
          <w:color w:val="0E1B2C"/>
          <w:sz w:val="28"/>
          <w:szCs w:val="28"/>
        </w:rPr>
        <w:t xml:space="preserve">Fluid gave back its rate lead</w:t>
      </w:r>
    </w:p>
    <w:p>
      <w:pPr>
        <w:spacing w:after="220"/>
      </w:pPr>
      <w:r>
        <w:rPr>
          <w:rFonts w:ascii="Georgia" w:cs="Georgia" w:eastAsia="Georgia" w:hAnsi="Georgia"/>
          <w:sz w:val="22"/>
          <w:szCs w:val="22"/>
        </w:rPr>
        <w:t xml:space="preserve">Fluid closed June with the sector's only positive real yield on USDC: a 6.41% supply APY, 281 bps over the 4-week T-bill. It closed July at 4.66%, 107 bps under the T-bill, a 175 bps compression in a month while Aave V3's USDC rate moved 8 bps (3.19% to 3.27%). Fluid still leads the pool-based USDC field, but its margin over Aave narrowed from 322 bps to 139 bps, and the dispersion across the four pool-based USDC markets halved from 322 bps to 157 bps.</w:t>
      </w:r>
    </w:p>
    <w:p>
      <w:pPr>
        <w:spacing w:after="220"/>
      </w:pPr>
      <w:r>
        <w:rPr>
          <w:rFonts w:ascii="Georgia" w:cs="Georgia" w:eastAsia="Georgia" w:hAnsi="Georgia"/>
          <w:sz w:val="22"/>
          <w:szCs w:val="22"/>
        </w:rPr>
        <w:t xml:space="preserve">The compression was idiosyncratic to Fluid rather than sector-wide, but Fluid took +$26M of net flow anyway, near-flat. A 175 bps rate cut on a structurally higher-yielding venue did not produce a visible exit. On a lending book whose yield edge comes from capital that serves as both DEX and lending liquidity, that reads as depositor stickiness worth tracking into August.</w:t>
      </w:r>
    </w:p>
    <w:p>
      <w:pPr>
        <w:pStyle w:val="Heading2"/>
        <w:spacing w:after="200" w:before="340"/>
      </w:pPr>
      <w:r>
        <w:rPr>
          <w:rFonts w:ascii="Georgia" w:cs="Georgia" w:eastAsia="Georgia" w:hAnsi="Georgia"/>
          <w:b/>
          <w:bCs/>
          <w:color w:val="0E1B2C"/>
          <w:sz w:val="28"/>
          <w:szCs w:val="28"/>
        </w:rPr>
        <w:t xml:space="preserve">What August tests</w:t>
      </w:r>
    </w:p>
    <w:p>
      <w:pPr>
        <w:spacing w:after="220"/>
      </w:pPr>
      <w:r>
        <w:rPr>
          <w:rFonts w:ascii="Georgia" w:cs="Georgia" w:eastAsia="Georgia" w:hAnsi="Georgia"/>
          <w:sz w:val="22"/>
          <w:szCs w:val="22"/>
        </w:rPr>
        <w:t xml:space="preserve">Three readings settle whether July's shape is structural. Whether Aave V3 keeps carrying the sector: two months of Aave-dominant growth, +$845M in June and +$649M in July, is not a base case for a healthy multi-protocol sector, and a month where Aave goes flat while another protocol absorbs the inflow would break the read. Whether Sentora keeps pulling ahead or Morpho's concentration peaked in July. Whether the Sky-linked stablecoin book sees another Atlas Edit adjustment to the Base Rate. And whether Fluid stabilizes around 4.6% or continues drifting toward Aave's 3.27%. A third consecutive month of climbing concentration and deepening real yield would put the sector in a late-cycle depositor shape: the largest venues keep winning, and the pool of new capital they win from keeps thinning.</w:t>
      </w:r>
    </w:p>
    <w:p>
      <w:pPr>
        <w:spacing w:after="220"/>
      </w:pPr>
      <w:r>
        <w:rPr>
          <w:rFonts w:ascii="Georgia" w:cs="Georgia" w:eastAsia="Georgia" w:hAnsi="Georgia"/>
          <w:sz w:val="22"/>
          <w:szCs w:val="22"/>
        </w:rPr>
        <w:t xml:space="preserve">The full report, with the daily flow series, the six protocol sections, and the complete rate and curator tables: </w:t>
      </w:r>
      <w:hyperlink w:history="1" r:id="rIdpjrj7o-dcuccqitott2gv">
        <w:r>
          <w:rPr>
            <w:rStyle w:val="Hyperlink"/>
            <w:rFonts w:ascii="Georgia" w:cs="Georgia" w:eastAsia="Georgia" w:hAnsi="Georgia"/>
            <w:sz w:val="22"/>
            <w:szCs w:val="22"/>
          </w:rPr>
          <w:t xml:space="preserve">https://datumlab.xyz/resources/reports/state-of-lending-ethereum-july-2026</w:t>
        </w:r>
      </w:hyperlink>
      <w:r>
        <w:rPr>
          <w:rFonts w:ascii="Georgia" w:cs="Georgia" w:eastAsia="Georgia" w:hAnsi="Georgia"/>
          <w:sz w:val="22"/>
          <w:szCs w:val="22"/>
        </w:rPr>
        <w:t xml:space="preserve">. Issue 004 of the monthly State of DeFi Lending on Ethereum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jrj7o-dcuccqitott2gv" Type="http://schemas.openxmlformats.org/officeDocument/2006/relationships/hyperlink" Target="https://datumlab.xyz/resources/reports/state-of-lending-ethereum-july-20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2026-08-06T08:14:03.067Z</dcterms:created>
  <dcterms:modified xsi:type="dcterms:W3CDTF">2026-08-06T08:14:03.069Z</dcterms:modified>
</cp:coreProperties>
</file>

<file path=docProps/custom.xml><?xml version="1.0" encoding="utf-8"?>
<Properties xmlns="http://schemas.openxmlformats.org/officeDocument/2006/custom-properties" xmlns:vt="http://schemas.openxmlformats.org/officeDocument/2006/docPropsVTypes"/>
</file>