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</w:pPr>
      <w:r>
        <w:rPr>
          <w:rFonts w:ascii="Georgia" w:cs="Georgia" w:eastAsia="Georgia" w:hAnsi="Georgia"/>
          <w:b/>
          <w:bCs/>
          <w:color w:val="0E1B2C"/>
          <w:sz w:val="40"/>
          <w:szCs w:val="40"/>
        </w:rPr>
        <w:t xml:space="preserve">Issue 004 Twitter: Datum Labs profile</w:t>
      </w:r>
    </w:p>
    <w:p>
      <w:pPr>
        <w:spacing w:after="200"/>
      </w:pPr>
      <w:r>
        <w:rPr>
          <w:rFonts w:ascii="Georgia" w:cs="Georgia" w:eastAsia="Georgia" w:hAnsi="Georgia"/>
          <w:i/>
          <w:iCs/>
          <w:color w:val="595959"/>
          <w:sz w:val="22"/>
          <w:szCs w:val="22"/>
        </w:rPr>
        <w:t xml:space="preserve">Institutional voice, third person, snapshot-dated figures. Three threads plus four standalone tweets that schedule independently. Character counts noted under each tweet; long tweets assume a Premium account. Each standalone includes the report link.</w:t>
      </w:r>
    </w:p>
    <w:p>
      <w:pPr>
        <w:pStyle w:val="Heading1"/>
        <w:spacing w:after="200" w:before="400"/>
      </w:pPr>
      <w:r>
        <w:rPr>
          <w:rFonts w:ascii="Georgia" w:cs="Georgia" w:eastAsia="Georgia" w:hAnsi="Georgia"/>
          <w:b/>
          <w:bCs/>
          <w:color w:val="0E1B2C"/>
          <w:sz w:val="32"/>
          <w:szCs w:val="32"/>
        </w:rPr>
        <w:t xml:space="preserve">Thread 1: Aave carried the sector</w:t>
      </w:r>
    </w:p>
    <w:p>
      <w:pPr>
        <w:spacing w:after="120" w:before="280"/>
      </w:pPr>
      <w:r>
        <w:rPr>
          <w:rFonts w:ascii="Georgia" w:cs="Georgia" w:eastAsia="Georgia" w:hAnsi="Georgia"/>
          <w:b/>
          <w:bCs/>
          <w:color w:val="C5511A"/>
          <w:sz w:val="22"/>
          <w:szCs w:val="22"/>
        </w:rPr>
        <w:t xml:space="preserve">T1  </w:t>
      </w:r>
      <w:r>
        <w:rPr>
          <w:rFonts w:ascii="Georgia" w:cs="Georgia" w:eastAsia="Georgia" w:hAnsi="Georgia"/>
          <w:b/>
          <w:bCs/>
          <w:sz w:val="22"/>
          <w:szCs w:val="22"/>
        </w:rPr>
        <w:t xml:space="preserve">Thread 1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Aave V3 added $649M of net constant-price deposits on Ethereum in July 2026, the only positive reading among the six largest lending protocols large enough to move the sector. The other five combined for −$96M. Strip out Aave V3 and the sector contracted.</w:t>
      </w:r>
    </w:p>
    <w:p>
      <w:pPr>
        <w:spacing w:after="160"/>
        <w:ind w:left="360"/>
      </w:pPr>
      <w:r>
        <w:rPr>
          <w:rFonts w:ascii="Georgia" w:cs="Georgia" w:eastAsia="Georgia" w:hAnsi="Georgia"/>
          <w:i/>
          <w:iCs/>
          <w:color w:val="595959"/>
          <w:sz w:val="18"/>
          <w:szCs w:val="18"/>
        </w:rPr>
        <w:t xml:space="preserve">255 characters</w:t>
      </w:r>
    </w:p>
    <w:p>
      <w:pPr>
        <w:spacing w:after="120" w:before="280"/>
      </w:pPr>
      <w:r>
        <w:rPr>
          <w:rFonts w:ascii="Georgia" w:cs="Georgia" w:eastAsia="Georgia" w:hAnsi="Georgia"/>
          <w:b/>
          <w:bCs/>
          <w:color w:val="C5511A"/>
          <w:sz w:val="22"/>
          <w:szCs w:val="22"/>
        </w:rPr>
        <w:t xml:space="preserve">T2  </w:t>
      </w:r>
      <w:r>
        <w:rPr>
          <w:rFonts w:ascii="Georgia" w:cs="Georgia" w:eastAsia="Georgia" w:hAnsi="Georgia"/>
          <w:b/>
          <w:bCs/>
          <w:sz w:val="22"/>
          <w:szCs w:val="22"/>
        </w:rPr>
        <w:t xml:space="preserve">Thread 1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The +$649M came through the collateral reserves. The stablecoin book drained over the same month: USDC −$20M, USDT −$62M, WETH −$29M. Against those, weETH +$285M, sUSDe +$145M, WBTC +$124M, wstETH +$113M, cbBTC +$63M.</w:t>
      </w:r>
    </w:p>
    <w:p>
      <w:pPr>
        <w:spacing w:after="160"/>
        <w:ind w:left="360"/>
      </w:pPr>
      <w:r>
        <w:rPr>
          <w:rFonts w:ascii="Georgia" w:cs="Georgia" w:eastAsia="Georgia" w:hAnsi="Georgia"/>
          <w:i/>
          <w:iCs/>
          <w:color w:val="595959"/>
          <w:sz w:val="18"/>
          <w:szCs w:val="18"/>
        </w:rPr>
        <w:t xml:space="preserve">217 characters</w:t>
      </w:r>
    </w:p>
    <w:p>
      <w:pPr>
        <w:spacing w:after="120" w:before="280"/>
      </w:pPr>
      <w:r>
        <w:rPr>
          <w:rFonts w:ascii="Georgia" w:cs="Georgia" w:eastAsia="Georgia" w:hAnsi="Georgia"/>
          <w:b/>
          <w:bCs/>
          <w:color w:val="C5511A"/>
          <w:sz w:val="22"/>
          <w:szCs w:val="22"/>
        </w:rPr>
        <w:t xml:space="preserve">T3  </w:t>
      </w:r>
      <w:r>
        <w:rPr>
          <w:rFonts w:ascii="Georgia" w:cs="Georgia" w:eastAsia="Georgia" w:hAnsi="Georgia"/>
          <w:b/>
          <w:bCs/>
          <w:sz w:val="22"/>
          <w:szCs w:val="22"/>
        </w:rPr>
        <w:t xml:space="preserve">Thread 1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Inside the liquid restaking complex the flow split. weETH took +$285M while rsETH lost $93M, a rotation toward the token with the deepest looping venue on Aave rather than a uniform restaking inflow.</w:t>
      </w:r>
    </w:p>
    <w:p>
      <w:pPr>
        <w:spacing w:after="160"/>
        <w:ind w:left="360"/>
      </w:pPr>
      <w:r>
        <w:rPr>
          <w:rFonts w:ascii="Georgia" w:cs="Georgia" w:eastAsia="Georgia" w:hAnsi="Georgia"/>
          <w:i/>
          <w:iCs/>
          <w:color w:val="595959"/>
          <w:sz w:val="18"/>
          <w:szCs w:val="18"/>
        </w:rPr>
        <w:t xml:space="preserve">199 characters</w:t>
      </w:r>
    </w:p>
    <w:p>
      <w:pPr>
        <w:spacing w:after="120" w:before="280"/>
      </w:pPr>
      <w:r>
        <w:rPr>
          <w:rFonts w:ascii="Georgia" w:cs="Georgia" w:eastAsia="Georgia" w:hAnsi="Georgia"/>
          <w:b/>
          <w:bCs/>
          <w:color w:val="C5511A"/>
          <w:sz w:val="22"/>
          <w:szCs w:val="22"/>
        </w:rPr>
        <w:t xml:space="preserve">T4  </w:t>
      </w:r>
      <w:r>
        <w:rPr>
          <w:rFonts w:ascii="Georgia" w:cs="Georgia" w:eastAsia="Georgia" w:hAnsi="Georgia"/>
          <w:b/>
          <w:bCs/>
          <w:sz w:val="22"/>
          <w:szCs w:val="22"/>
        </w:rPr>
        <w:t xml:space="preserve">Thread 1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Net stablecoin position on Aave V3 still grew about +$145M, but the growth was the USDe complex. sUSDe, USDe, USDTB, and Pendle sUSDe forwards drew inflow while USDC and USDT drained. Ethena's synthetic dollar is now a material stablecoin surface on the protocol.</w:t>
      </w:r>
    </w:p>
    <w:p>
      <w:pPr>
        <w:spacing w:after="160"/>
        <w:ind w:left="360"/>
      </w:pPr>
      <w:r>
        <w:rPr>
          <w:rFonts w:ascii="Georgia" w:cs="Georgia" w:eastAsia="Georgia" w:hAnsi="Georgia"/>
          <w:i/>
          <w:iCs/>
          <w:color w:val="595959"/>
          <w:sz w:val="18"/>
          <w:szCs w:val="18"/>
        </w:rPr>
        <w:t xml:space="preserve">263 characters</w:t>
      </w:r>
    </w:p>
    <w:p>
      <w:pPr>
        <w:spacing w:after="120" w:before="280"/>
      </w:pPr>
      <w:r>
        <w:rPr>
          <w:rFonts w:ascii="Georgia" w:cs="Georgia" w:eastAsia="Georgia" w:hAnsi="Georgia"/>
          <w:b/>
          <w:bCs/>
          <w:color w:val="C5511A"/>
          <w:sz w:val="22"/>
          <w:szCs w:val="22"/>
        </w:rPr>
        <w:t xml:space="preserve">T5  </w:t>
      </w:r>
      <w:r>
        <w:rPr>
          <w:rFonts w:ascii="Georgia" w:cs="Georgia" w:eastAsia="Georgia" w:hAnsi="Georgia"/>
          <w:b/>
          <w:bCs/>
          <w:sz w:val="22"/>
          <w:szCs w:val="22"/>
        </w:rPr>
        <w:t xml:space="preserve">Thread 1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This is the second consecutive month of the same composition: collateral in, base stablecoins and ETH flat to negative. June ran the same shape, USDC down $162M against $845M of collateral.</w:t>
      </w:r>
    </w:p>
    <w:p>
      <w:pPr>
        <w:spacing w:after="160"/>
        <w:ind w:left="360"/>
      </w:pPr>
      <w:r>
        <w:rPr>
          <w:rFonts w:ascii="Georgia" w:cs="Georgia" w:eastAsia="Georgia" w:hAnsi="Georgia"/>
          <w:i/>
          <w:iCs/>
          <w:color w:val="595959"/>
          <w:sz w:val="18"/>
          <w:szCs w:val="18"/>
        </w:rPr>
        <w:t xml:space="preserve">189 characters</w:t>
      </w:r>
    </w:p>
    <w:p>
      <w:pPr>
        <w:spacing w:after="120" w:before="280"/>
      </w:pPr>
      <w:r>
        <w:rPr>
          <w:rFonts w:ascii="Georgia" w:cs="Georgia" w:eastAsia="Georgia" w:hAnsi="Georgia"/>
          <w:b/>
          <w:bCs/>
          <w:color w:val="C5511A"/>
          <w:sz w:val="22"/>
          <w:szCs w:val="22"/>
        </w:rPr>
        <w:t xml:space="preserve">T6  </w:t>
      </w:r>
      <w:r>
        <w:rPr>
          <w:rFonts w:ascii="Georgia" w:cs="Georgia" w:eastAsia="Georgia" w:hAnsi="Georgia"/>
          <w:b/>
          <w:bCs/>
          <w:sz w:val="22"/>
          <w:szCs w:val="22"/>
        </w:rPr>
        <w:t xml:space="preserve">Thread 1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Aave V3's growth this cycle is a borrow-book story. Depositors supply collateral to borrow against; the 3.27% USDC supply rate, 33 bps under the 4-week T-bill, is not what draws them. Two months makes it a pattern.</w:t>
      </w:r>
    </w:p>
    <w:p>
      <w:pPr>
        <w:spacing w:after="160"/>
        <w:ind w:left="360"/>
      </w:pPr>
      <w:r>
        <w:rPr>
          <w:rFonts w:ascii="Georgia" w:cs="Georgia" w:eastAsia="Georgia" w:hAnsi="Georgia"/>
          <w:i/>
          <w:iCs/>
          <w:color w:val="595959"/>
          <w:sz w:val="18"/>
          <w:szCs w:val="18"/>
        </w:rPr>
        <w:t xml:space="preserve">214 characters</w:t>
      </w:r>
    </w:p>
    <w:p>
      <w:pPr>
        <w:spacing w:after="120" w:before="280"/>
      </w:pPr>
      <w:r>
        <w:rPr>
          <w:rFonts w:ascii="Georgia" w:cs="Georgia" w:eastAsia="Georgia" w:hAnsi="Georgia"/>
          <w:b/>
          <w:bCs/>
          <w:color w:val="C5511A"/>
          <w:sz w:val="22"/>
          <w:szCs w:val="22"/>
        </w:rPr>
        <w:t xml:space="preserve">T7  </w:t>
      </w:r>
      <w:r>
        <w:rPr>
          <w:rFonts w:ascii="Georgia" w:cs="Georgia" w:eastAsia="Georgia" w:hAnsi="Georgia"/>
          <w:b/>
          <w:bCs/>
          <w:sz w:val="22"/>
          <w:szCs w:val="22"/>
        </w:rPr>
        <w:t xml:space="preserve">Thread 1 (link)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Issue 004, State of DeFi Lending on Ethereum, July 2026. Six protocol sections and the full data tables.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https://datumlab.xyz/resources/reports/state-of-lending-ethereum-july-2026</w:t>
      </w:r>
    </w:p>
    <w:p>
      <w:pPr>
        <w:spacing w:after="160"/>
        <w:ind w:left="360"/>
      </w:pPr>
      <w:r>
        <w:rPr>
          <w:rFonts w:ascii="Georgia" w:cs="Georgia" w:eastAsia="Georgia" w:hAnsi="Georgia"/>
          <w:i/>
          <w:iCs/>
          <w:color w:val="595959"/>
          <w:sz w:val="18"/>
          <w:szCs w:val="18"/>
        </w:rPr>
        <w:t xml:space="preserve">180 characters</w:t>
      </w:r>
    </w:p>
    <w:p>
      <w:pPr>
        <w:pStyle w:val="Heading1"/>
        <w:spacing w:after="200" w:before="400"/>
      </w:pPr>
      <w:r>
        <w:rPr>
          <w:rFonts w:ascii="Georgia" w:cs="Georgia" w:eastAsia="Georgia" w:hAnsi="Georgia"/>
          <w:b/>
          <w:bCs/>
          <w:color w:val="0E1B2C"/>
          <w:sz w:val="32"/>
          <w:szCs w:val="32"/>
        </w:rPr>
        <w:t xml:space="preserve">Thread 2: Sentora overtook Steakhouse on Morpho</w:t>
      </w:r>
    </w:p>
    <w:p>
      <w:pPr>
        <w:spacing w:after="120" w:before="280"/>
      </w:pPr>
      <w:r>
        <w:rPr>
          <w:rFonts w:ascii="Georgia" w:cs="Georgia" w:eastAsia="Georgia" w:hAnsi="Georgia"/>
          <w:b/>
          <w:bCs/>
          <w:color w:val="C5511A"/>
          <w:sz w:val="22"/>
          <w:szCs w:val="22"/>
        </w:rPr>
        <w:t xml:space="preserve">T1  </w:t>
      </w:r>
      <w:r>
        <w:rPr>
          <w:rFonts w:ascii="Georgia" w:cs="Georgia" w:eastAsia="Georgia" w:hAnsi="Georgia"/>
          <w:b/>
          <w:bCs/>
          <w:sz w:val="22"/>
          <w:szCs w:val="22"/>
        </w:rPr>
        <w:t xml:space="preserve">Thread 2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Sentora closed July as Morpho's largest single curator at 33.56% of combined V1+V2 curated TVL, overtaking Steakhouse Financial at 31.31%. At May 31 Sentora sat at 27.65%, behind Steakhouse.</w:t>
      </w:r>
    </w:p>
    <w:p>
      <w:pPr>
        <w:spacing w:after="160"/>
        <w:ind w:left="360"/>
      </w:pPr>
      <w:r>
        <w:rPr>
          <w:rFonts w:ascii="Georgia" w:cs="Georgia" w:eastAsia="Georgia" w:hAnsi="Georgia"/>
          <w:i/>
          <w:iCs/>
          <w:color w:val="595959"/>
          <w:sz w:val="18"/>
          <w:szCs w:val="18"/>
        </w:rPr>
        <w:t xml:space="preserve">190 characters</w:t>
      </w:r>
    </w:p>
    <w:p>
      <w:pPr>
        <w:spacing w:after="120" w:before="280"/>
      </w:pPr>
      <w:r>
        <w:rPr>
          <w:rFonts w:ascii="Georgia" w:cs="Georgia" w:eastAsia="Georgia" w:hAnsi="Georgia"/>
          <w:b/>
          <w:bCs/>
          <w:color w:val="C5511A"/>
          <w:sz w:val="22"/>
          <w:szCs w:val="22"/>
        </w:rPr>
        <w:t xml:space="preserve">T2  </w:t>
      </w:r>
      <w:r>
        <w:rPr>
          <w:rFonts w:ascii="Georgia" w:cs="Georgia" w:eastAsia="Georgia" w:hAnsi="Georgia"/>
          <w:b/>
          <w:bCs/>
          <w:sz w:val="22"/>
          <w:szCs w:val="22"/>
        </w:rPr>
        <w:t xml:space="preserve">Thread 2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The crossover ran in two moves. May to June was a direct transfer: Sentora +358 bps, Steakhouse −191 bps. Share moved from the incumbent to the challenger.</w:t>
      </w:r>
    </w:p>
    <w:p>
      <w:pPr>
        <w:spacing w:after="160"/>
        <w:ind w:left="360"/>
      </w:pPr>
      <w:r>
        <w:rPr>
          <w:rFonts w:ascii="Georgia" w:cs="Georgia" w:eastAsia="Georgia" w:hAnsi="Georgia"/>
          <w:i/>
          <w:iCs/>
          <w:color w:val="595959"/>
          <w:sz w:val="18"/>
          <w:szCs w:val="18"/>
        </w:rPr>
        <w:t xml:space="preserve">155 characters</w:t>
      </w:r>
    </w:p>
    <w:p>
      <w:pPr>
        <w:spacing w:after="120" w:before="280"/>
      </w:pPr>
      <w:r>
        <w:rPr>
          <w:rFonts w:ascii="Georgia" w:cs="Georgia" w:eastAsia="Georgia" w:hAnsi="Georgia"/>
          <w:b/>
          <w:bCs/>
          <w:color w:val="C5511A"/>
          <w:sz w:val="22"/>
          <w:szCs w:val="22"/>
        </w:rPr>
        <w:t xml:space="preserve">T3  </w:t>
      </w:r>
      <w:r>
        <w:rPr>
          <w:rFonts w:ascii="Georgia" w:cs="Georgia" w:eastAsia="Georgia" w:hAnsi="Georgia"/>
          <w:b/>
          <w:bCs/>
          <w:sz w:val="22"/>
          <w:szCs w:val="22"/>
        </w:rPr>
        <w:t xml:space="preserve">Thread 2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June to July was coincident growth: Sentora and Steakhouse both gained, together +447 bps, with the ground coming from the long tail rather than from each other. Across the full window Sentora added +591 bps, Steakhouse +23 bps net.</w:t>
      </w:r>
    </w:p>
    <w:p>
      <w:pPr>
        <w:spacing w:after="160"/>
        <w:ind w:left="360"/>
      </w:pPr>
      <w:r>
        <w:rPr>
          <w:rFonts w:ascii="Georgia" w:cs="Georgia" w:eastAsia="Georgia" w:hAnsi="Georgia"/>
          <w:i/>
          <w:iCs/>
          <w:color w:val="595959"/>
          <w:sz w:val="18"/>
          <w:szCs w:val="18"/>
        </w:rPr>
        <w:t xml:space="preserve">232 characters</w:t>
      </w:r>
    </w:p>
    <w:p>
      <w:pPr>
        <w:spacing w:after="120" w:before="280"/>
      </w:pPr>
      <w:r>
        <w:rPr>
          <w:rFonts w:ascii="Georgia" w:cs="Georgia" w:eastAsia="Georgia" w:hAnsi="Georgia"/>
          <w:b/>
          <w:bCs/>
          <w:color w:val="C5511A"/>
          <w:sz w:val="22"/>
          <w:szCs w:val="22"/>
        </w:rPr>
        <w:t xml:space="preserve">T4  </w:t>
      </w:r>
      <w:r>
        <w:rPr>
          <w:rFonts w:ascii="Georgia" w:cs="Georgia" w:eastAsia="Georgia" w:hAnsi="Georgia"/>
          <w:b/>
          <w:bCs/>
          <w:sz w:val="22"/>
          <w:szCs w:val="22"/>
        </w:rPr>
        <w:t xml:space="preserve">Thread 2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Gauntlet declined for a second straight month, 18.59% at May 31 to 13.02% at July 31, a 557 bps drop. Combined top-three curator share still rose, 74.6% to 77.9%.</w:t>
      </w:r>
    </w:p>
    <w:p>
      <w:pPr>
        <w:spacing w:after="160"/>
        <w:ind w:left="360"/>
      </w:pPr>
      <w:r>
        <w:rPr>
          <w:rFonts w:ascii="Georgia" w:cs="Georgia" w:eastAsia="Georgia" w:hAnsi="Georgia"/>
          <w:i/>
          <w:iCs/>
          <w:color w:val="595959"/>
          <w:sz w:val="18"/>
          <w:szCs w:val="18"/>
        </w:rPr>
        <w:t xml:space="preserve">162 characters</w:t>
      </w:r>
    </w:p>
    <w:p>
      <w:pPr>
        <w:spacing w:after="120" w:before="280"/>
      </w:pPr>
      <w:r>
        <w:rPr>
          <w:rFonts w:ascii="Georgia" w:cs="Georgia" w:eastAsia="Georgia" w:hAnsi="Georgia"/>
          <w:b/>
          <w:bCs/>
          <w:color w:val="C5511A"/>
          <w:sz w:val="22"/>
          <w:szCs w:val="22"/>
        </w:rPr>
        <w:t xml:space="preserve">T5  </w:t>
      </w:r>
      <w:r>
        <w:rPr>
          <w:rFonts w:ascii="Georgia" w:cs="Georgia" w:eastAsia="Georgia" w:hAnsi="Georgia"/>
          <w:b/>
          <w:bCs/>
          <w:sz w:val="22"/>
          <w:szCs w:val="22"/>
        </w:rPr>
        <w:t xml:space="preserve">Thread 2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The three run structurally different books. Sentora: $741M across 3 concentrated V2 vaults. Steakhouse: $691M across 18 vaults split evenly V1/V2. Gauntlet: $287M across 22 vaults, 82% weighted to V1.</w:t>
      </w:r>
    </w:p>
    <w:p>
      <w:pPr>
        <w:spacing w:after="160"/>
        <w:ind w:left="360"/>
      </w:pPr>
      <w:r>
        <w:rPr>
          <w:rFonts w:ascii="Georgia" w:cs="Georgia" w:eastAsia="Georgia" w:hAnsi="Georgia"/>
          <w:i/>
          <w:iCs/>
          <w:color w:val="595959"/>
          <w:sz w:val="18"/>
          <w:szCs w:val="18"/>
        </w:rPr>
        <w:t xml:space="preserve">200 characters</w:t>
      </w:r>
    </w:p>
    <w:p>
      <w:pPr>
        <w:spacing w:after="120" w:before="280"/>
      </w:pPr>
      <w:r>
        <w:rPr>
          <w:rFonts w:ascii="Georgia" w:cs="Georgia" w:eastAsia="Georgia" w:hAnsi="Georgia"/>
          <w:b/>
          <w:bCs/>
          <w:color w:val="C5511A"/>
          <w:sz w:val="22"/>
          <w:szCs w:val="22"/>
        </w:rPr>
        <w:t xml:space="preserve">T6  </w:t>
      </w:r>
      <w:r>
        <w:rPr>
          <w:rFonts w:ascii="Georgia" w:cs="Georgia" w:eastAsia="Georgia" w:hAnsi="Georgia"/>
          <w:b/>
          <w:bCs/>
          <w:sz w:val="22"/>
          <w:szCs w:val="22"/>
        </w:rPr>
        <w:t xml:space="preserve">Thread 2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Morpho's combined V1+V2 HHI climbed to 2,337 at July 31 from 2,095 at June 30, a second consecutive monthly rise. The aggregate number reads as generic concentration; the composition is one V2-native curator consolidating while the incumbent holds mixed and the third retreats into legacy V1.</w:t>
      </w:r>
    </w:p>
    <w:p>
      <w:pPr>
        <w:spacing w:after="160"/>
        <w:ind w:left="360"/>
      </w:pPr>
      <w:r>
        <w:rPr>
          <w:rFonts w:ascii="Georgia" w:cs="Georgia" w:eastAsia="Georgia" w:hAnsi="Georgia"/>
          <w:i/>
          <w:iCs/>
          <w:color w:val="595959"/>
          <w:sz w:val="18"/>
          <w:szCs w:val="18"/>
        </w:rPr>
        <w:t xml:space="preserve">292 characters</w:t>
      </w:r>
    </w:p>
    <w:p>
      <w:pPr>
        <w:spacing w:after="120" w:before="280"/>
      </w:pPr>
      <w:r>
        <w:rPr>
          <w:rFonts w:ascii="Georgia" w:cs="Georgia" w:eastAsia="Georgia" w:hAnsi="Georgia"/>
          <w:b/>
          <w:bCs/>
          <w:color w:val="C5511A"/>
          <w:sz w:val="22"/>
          <w:szCs w:val="22"/>
        </w:rPr>
        <w:t xml:space="preserve">T7  </w:t>
      </w:r>
      <w:r>
        <w:rPr>
          <w:rFonts w:ascii="Georgia" w:cs="Georgia" w:eastAsia="Georgia" w:hAnsi="Georgia"/>
          <w:b/>
          <w:bCs/>
          <w:sz w:val="22"/>
          <w:szCs w:val="22"/>
        </w:rPr>
        <w:t xml:space="preserve">Thread 2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Two curators outside the top three grew in July, both V2-only: Sky Money to 5.46% ($121M) and Galaxy Curation to 3.60% ($79M). Growth on Morpho's vault surface is landing in V2.</w:t>
      </w:r>
    </w:p>
    <w:p>
      <w:pPr>
        <w:spacing w:after="160"/>
        <w:ind w:left="360"/>
      </w:pPr>
      <w:r>
        <w:rPr>
          <w:rFonts w:ascii="Georgia" w:cs="Georgia" w:eastAsia="Georgia" w:hAnsi="Georgia"/>
          <w:i/>
          <w:iCs/>
          <w:color w:val="595959"/>
          <w:sz w:val="18"/>
          <w:szCs w:val="18"/>
        </w:rPr>
        <w:t xml:space="preserve">177 characters</w:t>
      </w:r>
    </w:p>
    <w:p>
      <w:pPr>
        <w:spacing w:after="120" w:before="280"/>
      </w:pPr>
      <w:r>
        <w:rPr>
          <w:rFonts w:ascii="Georgia" w:cs="Georgia" w:eastAsia="Georgia" w:hAnsi="Georgia"/>
          <w:b/>
          <w:bCs/>
          <w:color w:val="C5511A"/>
          <w:sz w:val="22"/>
          <w:szCs w:val="22"/>
        </w:rPr>
        <w:t xml:space="preserve">T8  </w:t>
      </w:r>
      <w:r>
        <w:rPr>
          <w:rFonts w:ascii="Georgia" w:cs="Georgia" w:eastAsia="Georgia" w:hAnsi="Georgia"/>
          <w:b/>
          <w:bCs/>
          <w:sz w:val="22"/>
          <w:szCs w:val="22"/>
        </w:rPr>
        <w:t xml:space="preserve">Thread 2 (link)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Issue 004, State of DeFi Lending on Ethereum, July 2026. Six protocol sections and the full data tables.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https://datumlab.xyz/resources/reports/state-of-lending-ethereum-july-2026</w:t>
      </w:r>
    </w:p>
    <w:p>
      <w:pPr>
        <w:spacing w:after="160"/>
        <w:ind w:left="360"/>
      </w:pPr>
      <w:r>
        <w:rPr>
          <w:rFonts w:ascii="Georgia" w:cs="Georgia" w:eastAsia="Georgia" w:hAnsi="Georgia"/>
          <w:i/>
          <w:iCs/>
          <w:color w:val="595959"/>
          <w:sz w:val="18"/>
          <w:szCs w:val="18"/>
        </w:rPr>
        <w:t xml:space="preserve">180 characters</w:t>
      </w:r>
    </w:p>
    <w:p>
      <w:pPr>
        <w:pStyle w:val="Heading1"/>
        <w:spacing w:after="200" w:before="400"/>
      </w:pPr>
      <w:r>
        <w:rPr>
          <w:rFonts w:ascii="Georgia" w:cs="Georgia" w:eastAsia="Georgia" w:hAnsi="Georgia"/>
          <w:b/>
          <w:bCs/>
          <w:color w:val="0E1B2C"/>
          <w:sz w:val="32"/>
          <w:szCs w:val="32"/>
        </w:rPr>
        <w:t xml:space="preserve">Thread 3: SparkLend's stablecoin rates move with Sky governance</w:t>
      </w:r>
    </w:p>
    <w:p>
      <w:pPr>
        <w:spacing w:after="120" w:before="280"/>
      </w:pPr>
      <w:r>
        <w:rPr>
          <w:rFonts w:ascii="Georgia" w:cs="Georgia" w:eastAsia="Georgia" w:hAnsi="Georgia"/>
          <w:b/>
          <w:bCs/>
          <w:color w:val="C5511A"/>
          <w:sz w:val="22"/>
          <w:szCs w:val="22"/>
        </w:rPr>
        <w:t xml:space="preserve">T1  </w:t>
      </w:r>
      <w:r>
        <w:rPr>
          <w:rFonts w:ascii="Georgia" w:cs="Georgia" w:eastAsia="Georgia" w:hAnsi="Georgia"/>
          <w:b/>
          <w:bCs/>
          <w:sz w:val="22"/>
          <w:szCs w:val="22"/>
        </w:rPr>
        <w:t xml:space="preserve">Thread 3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On July 23 at 14:43 UTC, Sky's weekly Atlas Edit executive spell executed on-chain and cut the Sky Base Rate from 3.90% to 3.72%, an 18 bps step. SparkLend's USDC retail borrow rate stepped from 4.42% to 4.28% in the same cycle.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tx 0x12435f652eeb08f9de4f4b6402a88de38ac092aef2a6656c87ed0be2f6f6619b</w:t>
      </w:r>
    </w:p>
    <w:p>
      <w:pPr>
        <w:spacing w:after="160"/>
        <w:ind w:left="360"/>
      </w:pPr>
      <w:r>
        <w:rPr>
          <w:rFonts w:ascii="Georgia" w:cs="Georgia" w:eastAsia="Georgia" w:hAnsi="Georgia"/>
          <w:i/>
          <w:iCs/>
          <w:color w:val="595959"/>
          <w:sz w:val="18"/>
          <w:szCs w:val="18"/>
        </w:rPr>
        <w:t xml:space="preserve">299 characters</w:t>
      </w:r>
    </w:p>
    <w:p>
      <w:pPr>
        <w:spacing w:after="120" w:before="280"/>
      </w:pPr>
      <w:r>
        <w:rPr>
          <w:rFonts w:ascii="Georgia" w:cs="Georgia" w:eastAsia="Georgia" w:hAnsi="Georgia"/>
          <w:b/>
          <w:bCs/>
          <w:color w:val="C5511A"/>
          <w:sz w:val="22"/>
          <w:szCs w:val="22"/>
        </w:rPr>
        <w:t xml:space="preserve">T2  </w:t>
      </w:r>
      <w:r>
        <w:rPr>
          <w:rFonts w:ascii="Georgia" w:cs="Georgia" w:eastAsia="Georgia" w:hAnsi="Georgia"/>
          <w:b/>
          <w:bCs/>
          <w:sz w:val="22"/>
          <w:szCs w:val="22"/>
        </w:rPr>
        <w:t xml:space="preserve">Thread 3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Five of SparkLend's 18 reserves price their borrow rate from that Base Rate rather than from pool utilization. All five are stablecoins: DAI, USDC, USDT, USDS, PYUSD. All five stepped roughly 18 bps on July 23.</w:t>
      </w:r>
    </w:p>
    <w:p>
      <w:pPr>
        <w:spacing w:after="160"/>
        <w:ind w:left="360"/>
      </w:pPr>
      <w:r>
        <w:rPr>
          <w:rFonts w:ascii="Georgia" w:cs="Georgia" w:eastAsia="Georgia" w:hAnsi="Georgia"/>
          <w:i/>
          <w:iCs/>
          <w:color w:val="595959"/>
          <w:sz w:val="18"/>
          <w:szCs w:val="18"/>
        </w:rPr>
        <w:t xml:space="preserve">210 characters</w:t>
      </w:r>
    </w:p>
    <w:p>
      <w:pPr>
        <w:spacing w:after="120" w:before="280"/>
      </w:pPr>
      <w:r>
        <w:rPr>
          <w:rFonts w:ascii="Georgia" w:cs="Georgia" w:eastAsia="Georgia" w:hAnsi="Georgia"/>
          <w:b/>
          <w:bCs/>
          <w:color w:val="C5511A"/>
          <w:sz w:val="22"/>
          <w:szCs w:val="22"/>
        </w:rPr>
        <w:t xml:space="preserve">T3  </w:t>
      </w:r>
      <w:r>
        <w:rPr>
          <w:rFonts w:ascii="Georgia" w:cs="Georgia" w:eastAsia="Georgia" w:hAnsi="Georgia"/>
          <w:b/>
          <w:bCs/>
          <w:sz w:val="22"/>
          <w:szCs w:val="22"/>
        </w:rPr>
        <w:t xml:space="preserve">Thread 3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On-chain, the five point their variable-rate model at a single Sky-linked rate source at 0x57027B62, which references sUSDS and derives from the Sky Base Rate. The Base Rate is the wholesale cost of the USDS inventory SparkLend lends against as a Sky Agent.</w:t>
      </w:r>
    </w:p>
    <w:p>
      <w:pPr>
        <w:spacing w:after="160"/>
        <w:ind w:left="360"/>
      </w:pPr>
      <w:r>
        <w:rPr>
          <w:rFonts w:ascii="Georgia" w:cs="Georgia" w:eastAsia="Georgia" w:hAnsi="Georgia"/>
          <w:i/>
          <w:iCs/>
          <w:color w:val="595959"/>
          <w:sz w:val="18"/>
          <w:szCs w:val="18"/>
        </w:rPr>
        <w:t xml:space="preserve">257 characters</w:t>
      </w:r>
    </w:p>
    <w:p>
      <w:pPr>
        <w:spacing w:after="120" w:before="280"/>
      </w:pPr>
      <w:r>
        <w:rPr>
          <w:rFonts w:ascii="Georgia" w:cs="Georgia" w:eastAsia="Georgia" w:hAnsi="Georgia"/>
          <w:b/>
          <w:bCs/>
          <w:color w:val="C5511A"/>
          <w:sz w:val="22"/>
          <w:szCs w:val="22"/>
        </w:rPr>
        <w:t xml:space="preserve">T4  </w:t>
      </w:r>
      <w:r>
        <w:rPr>
          <w:rFonts w:ascii="Georgia" w:cs="Georgia" w:eastAsia="Georgia" w:hAnsi="Georgia"/>
          <w:b/>
          <w:bCs/>
          <w:sz w:val="22"/>
          <w:szCs w:val="22"/>
        </w:rPr>
        <w:t xml:space="preserve">Thread 3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None of SparkLend's other 13 reserves moved on July 23. The collateral book, WETH, wstETH, WBTC, weETH and the rest, clears on standard Aave-shape utilization curves. SparkLend is a hybrid: a Sky-priced stablecoin book on an Aave-style collateral book.</w:t>
      </w:r>
    </w:p>
    <w:p>
      <w:pPr>
        <w:spacing w:after="160"/>
        <w:ind w:left="360"/>
      </w:pPr>
      <w:r>
        <w:rPr>
          <w:rFonts w:ascii="Georgia" w:cs="Georgia" w:eastAsia="Georgia" w:hAnsi="Georgia"/>
          <w:i/>
          <w:iCs/>
          <w:color w:val="595959"/>
          <w:sz w:val="18"/>
          <w:szCs w:val="18"/>
        </w:rPr>
        <w:t xml:space="preserve">252 characters</w:t>
      </w:r>
    </w:p>
    <w:p>
      <w:pPr>
        <w:spacing w:after="120" w:before="280"/>
      </w:pPr>
      <w:r>
        <w:rPr>
          <w:rFonts w:ascii="Georgia" w:cs="Georgia" w:eastAsia="Georgia" w:hAnsi="Georgia"/>
          <w:b/>
          <w:bCs/>
          <w:color w:val="C5511A"/>
          <w:sz w:val="22"/>
          <w:szCs w:val="22"/>
        </w:rPr>
        <w:t xml:space="preserve">T5  </w:t>
      </w:r>
      <w:r>
        <w:rPr>
          <w:rFonts w:ascii="Georgia" w:cs="Georgia" w:eastAsia="Georgia" w:hAnsi="Georgia"/>
          <w:b/>
          <w:bCs/>
          <w:sz w:val="22"/>
          <w:szCs w:val="22"/>
        </w:rPr>
        <w:t xml:space="preserve">Thread 3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An earlier step on July 6 cut USDC from 4.61% to 4.42%, but the Base Rate held and the other four Sky-linked stablecoins did not move. July 6 was SparkLend compressing its own markup; July 23 was Sky cutting the wholesale rate. The markup narrowed from 0.71 pp to 0.56 pp.</w:t>
      </w:r>
    </w:p>
    <w:p>
      <w:pPr>
        <w:spacing w:after="160"/>
        <w:ind w:left="360"/>
      </w:pPr>
      <w:r>
        <w:rPr>
          <w:rFonts w:ascii="Georgia" w:cs="Georgia" w:eastAsia="Georgia" w:hAnsi="Georgia"/>
          <w:i/>
          <w:iCs/>
          <w:color w:val="595959"/>
          <w:sz w:val="18"/>
          <w:szCs w:val="18"/>
        </w:rPr>
        <w:t xml:space="preserve">272 characters</w:t>
      </w:r>
    </w:p>
    <w:p>
      <w:pPr>
        <w:spacing w:after="120" w:before="280"/>
      </w:pPr>
      <w:r>
        <w:rPr>
          <w:rFonts w:ascii="Georgia" w:cs="Georgia" w:eastAsia="Georgia" w:hAnsi="Georgia"/>
          <w:b/>
          <w:bCs/>
          <w:color w:val="C5511A"/>
          <w:sz w:val="22"/>
          <w:szCs w:val="22"/>
        </w:rPr>
        <w:t xml:space="preserve">T6  </w:t>
      </w:r>
      <w:r>
        <w:rPr>
          <w:rFonts w:ascii="Georgia" w:cs="Georgia" w:eastAsia="Georgia" w:hAnsi="Georgia"/>
          <w:b/>
          <w:bCs/>
          <w:sz w:val="22"/>
          <w:szCs w:val="22"/>
        </w:rPr>
        <w:t xml:space="preserve">Thread 3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The implication is for cross-protocol rate reads. Aave V3, Fluid, Compound V3, and Euler V2 set USDC rates on utilization. SparkLend's stablecoin book does not. Fluid's 4.66% USDC supply APY and SparkLend's 3.47% are set by different mechanisms and are not a like-for-like comparison.</w:t>
      </w:r>
    </w:p>
    <w:p>
      <w:pPr>
        <w:spacing w:after="160"/>
        <w:ind w:left="360"/>
      </w:pPr>
      <w:r>
        <w:rPr>
          <w:rFonts w:ascii="Georgia" w:cs="Georgia" w:eastAsia="Georgia" w:hAnsi="Georgia"/>
          <w:i/>
          <w:iCs/>
          <w:color w:val="595959"/>
          <w:sz w:val="18"/>
          <w:szCs w:val="18"/>
        </w:rPr>
        <w:t xml:space="preserve">284 characters</w:t>
      </w:r>
    </w:p>
    <w:p>
      <w:pPr>
        <w:spacing w:after="120" w:before="280"/>
      </w:pPr>
      <w:r>
        <w:rPr>
          <w:rFonts w:ascii="Georgia" w:cs="Georgia" w:eastAsia="Georgia" w:hAnsi="Georgia"/>
          <w:b/>
          <w:bCs/>
          <w:color w:val="C5511A"/>
          <w:sz w:val="22"/>
          <w:szCs w:val="22"/>
        </w:rPr>
        <w:t xml:space="preserve">T7  </w:t>
      </w:r>
      <w:r>
        <w:rPr>
          <w:rFonts w:ascii="Georgia" w:cs="Georgia" w:eastAsia="Georgia" w:hAnsi="Georgia"/>
          <w:b/>
          <w:bCs/>
          <w:sz w:val="22"/>
          <w:szCs w:val="22"/>
        </w:rPr>
        <w:t xml:space="preserve">Thread 3 (link)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Issue 004, State of DeFi Lending on Ethereum, July 2026. Six protocol sections and the full data tables.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https://datumlab.xyz/resources/reports/state-of-lending-ethereum-july-2026</w:t>
      </w:r>
    </w:p>
    <w:p>
      <w:pPr>
        <w:spacing w:after="160"/>
        <w:ind w:left="360"/>
      </w:pPr>
      <w:r>
        <w:rPr>
          <w:rFonts w:ascii="Georgia" w:cs="Georgia" w:eastAsia="Georgia" w:hAnsi="Georgia"/>
          <w:i/>
          <w:iCs/>
          <w:color w:val="595959"/>
          <w:sz w:val="18"/>
          <w:szCs w:val="18"/>
        </w:rPr>
        <w:t xml:space="preserve">180 characters</w:t>
      </w:r>
    </w:p>
    <w:p>
      <w:pPr>
        <w:pStyle w:val="Heading1"/>
        <w:spacing w:after="200" w:before="400"/>
      </w:pPr>
      <w:r>
        <w:rPr>
          <w:rFonts w:ascii="Georgia" w:cs="Georgia" w:eastAsia="Georgia" w:hAnsi="Georgia"/>
          <w:b/>
          <w:bCs/>
          <w:color w:val="0E1B2C"/>
          <w:sz w:val="32"/>
          <w:szCs w:val="32"/>
        </w:rPr>
        <w:t xml:space="preserve">Standalone tweets</w:t>
      </w:r>
    </w:p>
    <w:p>
      <w:pPr>
        <w:spacing w:after="120" w:before="280"/>
      </w:pPr>
      <w:r>
        <w:rPr>
          <w:rFonts w:ascii="Georgia" w:cs="Georgia" w:eastAsia="Georgia" w:hAnsi="Georgia"/>
          <w:b/>
          <w:bCs/>
          <w:color w:val="C5511A"/>
          <w:sz w:val="22"/>
          <w:szCs w:val="22"/>
        </w:rPr>
        <w:t xml:space="preserve">S.1  </w:t>
      </w:r>
      <w:r>
        <w:rPr>
          <w:rFonts w:ascii="Georgia" w:cs="Georgia" w:eastAsia="Georgia" w:hAnsi="Georgia"/>
          <w:b/>
          <w:bCs/>
          <w:sz w:val="22"/>
          <w:szCs w:val="22"/>
        </w:rPr>
        <w:t xml:space="preserve">Fluid rate leadership eroded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Fluid closed June with the sector's only positive real yield on USDC: 6.41% supply APY, 281 bps over the 4-week T-bill. It closed July at 4.66%, 107 bps under the T-bill. The 175 bps compression narrowed its lead over Aave V3 from 322 bps to 139 bps.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https://datumlab.xyz/resources/reports/state-of-lending-ethereum-july-2026</w:t>
      </w:r>
    </w:p>
    <w:p>
      <w:pPr>
        <w:spacing w:after="160"/>
        <w:ind w:left="360"/>
      </w:pPr>
      <w:r>
        <w:rPr>
          <w:rFonts w:ascii="Georgia" w:cs="Georgia" w:eastAsia="Georgia" w:hAnsi="Georgia"/>
          <w:i/>
          <w:iCs/>
          <w:color w:val="595959"/>
          <w:sz w:val="18"/>
          <w:szCs w:val="18"/>
        </w:rPr>
        <w:t xml:space="preserve">326 characters</w:t>
      </w:r>
    </w:p>
    <w:p>
      <w:pPr>
        <w:spacing w:after="120" w:before="280"/>
      </w:pPr>
      <w:r>
        <w:rPr>
          <w:rFonts w:ascii="Georgia" w:cs="Georgia" w:eastAsia="Georgia" w:hAnsi="Georgia"/>
          <w:b/>
          <w:bCs/>
          <w:color w:val="C5511A"/>
          <w:sz w:val="22"/>
          <w:szCs w:val="22"/>
        </w:rPr>
        <w:t xml:space="preserve">S.2  </w:t>
      </w:r>
      <w:r>
        <w:rPr>
          <w:rFonts w:ascii="Georgia" w:cs="Georgia" w:eastAsia="Georgia" w:hAnsi="Georgia"/>
          <w:b/>
          <w:bCs/>
          <w:sz w:val="22"/>
          <w:szCs w:val="22"/>
        </w:rPr>
        <w:t xml:space="preserve">Morpho V2 share + Midnight launch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Morpho V2 held 71.76% of combined curated TVL at July 31, $1.77B of a $2.21B book, as curators migrate mandates onto the newer vault standard. Morpho shipped Midnight, a fixed-rate and fixed-term product built on V2 markets, on July 24.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https://datumlab.xyz/resources/reports/state-of-lending-ethereum-july-2026</w:t>
      </w:r>
    </w:p>
    <w:p>
      <w:pPr>
        <w:spacing w:after="160"/>
        <w:ind w:left="360"/>
      </w:pPr>
      <w:r>
        <w:rPr>
          <w:rFonts w:ascii="Georgia" w:cs="Georgia" w:eastAsia="Georgia" w:hAnsi="Georgia"/>
          <w:i/>
          <w:iCs/>
          <w:color w:val="595959"/>
          <w:sz w:val="18"/>
          <w:szCs w:val="18"/>
        </w:rPr>
        <w:t xml:space="preserve">312 characters</w:t>
      </w:r>
    </w:p>
    <w:p>
      <w:pPr>
        <w:spacing w:after="120" w:before="280"/>
      </w:pPr>
      <w:r>
        <w:rPr>
          <w:rFonts w:ascii="Georgia" w:cs="Georgia" w:eastAsia="Georgia" w:hAnsi="Georgia"/>
          <w:b/>
          <w:bCs/>
          <w:color w:val="C5511A"/>
          <w:sz w:val="22"/>
          <w:szCs w:val="22"/>
        </w:rPr>
        <w:t xml:space="preserve">S.3  </w:t>
      </w:r>
      <w:r>
        <w:rPr>
          <w:rFonts w:ascii="Georgia" w:cs="Georgia" w:eastAsia="Georgia" w:hAnsi="Georgia"/>
          <w:b/>
          <w:bCs/>
          <w:sz w:val="22"/>
          <w:szCs w:val="22"/>
        </w:rPr>
        <w:t xml:space="preserve">Real Yield Spread deepened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The sector's blended stablecoin supply rate closed July at 2.85% against a 3.60% 4-week T-bill: a Real Yield Spread of −75 bps, down from −37 bps at the June close. Two consecutive months of materially negative real yield on the sector's largest asset class.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https://datumlab.xyz/resources/reports/state-of-lending-ethereum-july-2026</w:t>
      </w:r>
    </w:p>
    <w:p>
      <w:pPr>
        <w:spacing w:after="160"/>
        <w:ind w:left="360"/>
      </w:pPr>
      <w:r>
        <w:rPr>
          <w:rFonts w:ascii="Georgia" w:cs="Georgia" w:eastAsia="Georgia" w:hAnsi="Georgia"/>
          <w:i/>
          <w:iCs/>
          <w:color w:val="595959"/>
          <w:sz w:val="18"/>
          <w:szCs w:val="18"/>
        </w:rPr>
        <w:t xml:space="preserve">334 characters</w:t>
      </w:r>
    </w:p>
    <w:p>
      <w:pPr>
        <w:spacing w:after="120" w:before="280"/>
      </w:pPr>
      <w:r>
        <w:rPr>
          <w:rFonts w:ascii="Georgia" w:cs="Georgia" w:eastAsia="Georgia" w:hAnsi="Georgia"/>
          <w:b/>
          <w:bCs/>
          <w:color w:val="C5511A"/>
          <w:sz w:val="22"/>
          <w:szCs w:val="22"/>
        </w:rPr>
        <w:t xml:space="preserve">S.4  </w:t>
      </w:r>
      <w:r>
        <w:rPr>
          <w:rFonts w:ascii="Georgia" w:cs="Georgia" w:eastAsia="Georgia" w:hAnsi="Georgia"/>
          <w:b/>
          <w:bCs/>
          <w:sz w:val="22"/>
          <w:szCs w:val="22"/>
        </w:rPr>
        <w:t xml:space="preserve">Aave V3 stablecoin composition shift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Aave V3's stablecoin book grew about +$145M net in July, but the growth was the USDe complex. sUSDe, USDe, USDTB, and Pendle sUSDe forwards drew inflow while USDC shed $20M and USDT shed $62M.</w:t>
      </w:r>
    </w:p>
    <w:p>
      <w:pPr>
        <w:shd w:fill="F7F4ED" w:val="clear"/>
        <w:spacing w:after="120"/>
        <w:ind w:left="360"/>
      </w:pPr>
      <w:r>
        <w:rPr>
          <w:rFonts w:ascii="Georgia" w:cs="Georgia" w:eastAsia="Georgia" w:hAnsi="Georgia"/>
          <w:sz w:val="22"/>
          <w:szCs w:val="22"/>
        </w:rPr>
        <w:t xml:space="preserve">https://datumlab.xyz/resources/reports/state-of-lending-ethereum-july-2026</w:t>
      </w:r>
    </w:p>
    <w:p>
      <w:pPr>
        <w:spacing w:after="160"/>
        <w:ind w:left="360"/>
      </w:pPr>
      <w:r>
        <w:rPr>
          <w:rFonts w:ascii="Georgia" w:cs="Georgia" w:eastAsia="Georgia" w:hAnsi="Georgia"/>
          <w:i/>
          <w:iCs/>
          <w:color w:val="595959"/>
          <w:sz w:val="18"/>
          <w:szCs w:val="18"/>
        </w:rPr>
        <w:t xml:space="preserve">268 characters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2026-08-06T08:14:03.133Z</dcterms:created>
  <dcterms:modified xsi:type="dcterms:W3CDTF">2026-08-06T08:14:03.133Z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