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Georgia" w:cs="Georgia" w:eastAsia="Georgia" w:hAnsi="Georgia"/>
          <w:b/>
          <w:bCs/>
          <w:color w:val="0E1B2C"/>
          <w:sz w:val="40"/>
          <w:szCs w:val="40"/>
        </w:rPr>
        <w:t xml:space="preserve">Issue 004 Twitter: Joel personal profile</w:t>
      </w:r>
    </w:p>
    <w:p>
      <w:pPr>
        <w:spacing w:after="200"/>
      </w:pPr>
      <w:r>
        <w:rPr>
          <w:rFonts w:ascii="Georgia" w:cs="Georgia" w:eastAsia="Georgia" w:hAnsi="Georgia"/>
          <w:i/>
          <w:iCs/>
          <w:color w:val="595959"/>
          <w:sz w:val="22"/>
          <w:szCs w:val="22"/>
        </w:rPr>
        <w:t xml:space="preserve">First person, sparing and analytical. Two threads plus three standalone tweets. Character counts noted; each standalone includes the report link.</w:t>
      </w:r>
    </w:p>
    <w:p>
      <w:pPr>
        <w:pStyle w:val="Heading1"/>
        <w:spacing w:after="200" w:before="400"/>
      </w:pPr>
      <w:r>
        <w:rPr>
          <w:rFonts w:ascii="Georgia" w:cs="Georgia" w:eastAsia="Georgia" w:hAnsi="Georgia"/>
          <w:b/>
          <w:bCs/>
          <w:color w:val="0E1B2C"/>
          <w:sz w:val="32"/>
          <w:szCs w:val="32"/>
        </w:rPr>
        <w:t xml:space="preserve">Thread 1: the Aave collateral pattern</w:t>
      </w:r>
    </w:p>
    <w:p>
      <w:pPr>
        <w:spacing w:after="120" w:before="280"/>
      </w:pPr>
      <w:r>
        <w:rPr>
          <w:rFonts w:ascii="Georgia" w:cs="Georgia" w:eastAsia="Georgia" w:hAnsi="Georgia"/>
          <w:b/>
          <w:bCs/>
          <w:color w:val="C5511A"/>
          <w:sz w:val="22"/>
          <w:szCs w:val="22"/>
        </w:rPr>
        <w:t xml:space="preserve">T1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This is the second month I have watched Aave V3 carry the entire Ethereum lending sector. In July its +$649M net constant-price flow was effectively the whole story: the other five protocols netted −$96M.</w:t>
      </w:r>
    </w:p>
    <w:p>
      <w:pPr>
        <w:spacing w:after="160"/>
        <w:ind w:left="360"/>
      </w:pPr>
      <w:r>
        <w:rPr>
          <w:rFonts w:ascii="Georgia" w:cs="Georgia" w:eastAsia="Georgia" w:hAnsi="Georgia"/>
          <w:i/>
          <w:iCs/>
          <w:color w:val="595959"/>
          <w:sz w:val="18"/>
          <w:szCs w:val="18"/>
        </w:rPr>
        <w:t xml:space="preserve">204 characters</w:t>
      </w:r>
    </w:p>
    <w:p>
      <w:pPr>
        <w:spacing w:after="120" w:before="280"/>
      </w:pPr>
      <w:r>
        <w:rPr>
          <w:rFonts w:ascii="Georgia" w:cs="Georgia" w:eastAsia="Georgia" w:hAnsi="Georgia"/>
          <w:b/>
          <w:bCs/>
          <w:color w:val="C5511A"/>
          <w:sz w:val="22"/>
          <w:szCs w:val="22"/>
        </w:rPr>
        <w:t xml:space="preserve">T2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What keeps pulling me back to the composition is that almost none of it is USDC. weETH +$285M, sUSDe +$145M, WBTC +$124M. USDC actually shed $20M, USDT $62M. The growth is collateral.</w:t>
      </w:r>
    </w:p>
    <w:p>
      <w:pPr>
        <w:spacing w:after="160"/>
        <w:ind w:left="360"/>
      </w:pPr>
      <w:r>
        <w:rPr>
          <w:rFonts w:ascii="Georgia" w:cs="Georgia" w:eastAsia="Georgia" w:hAnsi="Georgia"/>
          <w:i/>
          <w:iCs/>
          <w:color w:val="595959"/>
          <w:sz w:val="18"/>
          <w:szCs w:val="18"/>
        </w:rPr>
        <w:t xml:space="preserve">183 characters</w:t>
      </w:r>
    </w:p>
    <w:p>
      <w:pPr>
        <w:spacing w:after="120" w:before="280"/>
      </w:pPr>
      <w:r>
        <w:rPr>
          <w:rFonts w:ascii="Georgia" w:cs="Georgia" w:eastAsia="Georgia" w:hAnsi="Georgia"/>
          <w:b/>
          <w:bCs/>
          <w:color w:val="C5511A"/>
          <w:sz w:val="22"/>
          <w:szCs w:val="22"/>
        </w:rPr>
        <w:t xml:space="preserve">T3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Collateral supplied at scale to the deepest borrow book on Ethereum reads one way to me: depositors are here to borrow against it. A 3.27% USDC rate, 33 bps under the T-bill, is not what pulls that capital in.</w:t>
      </w:r>
    </w:p>
    <w:p>
      <w:pPr>
        <w:spacing w:after="160"/>
        <w:ind w:left="360"/>
      </w:pPr>
      <w:r>
        <w:rPr>
          <w:rFonts w:ascii="Georgia" w:cs="Georgia" w:eastAsia="Georgia" w:hAnsi="Georgia"/>
          <w:i/>
          <w:iCs/>
          <w:color w:val="595959"/>
          <w:sz w:val="18"/>
          <w:szCs w:val="18"/>
        </w:rPr>
        <w:t xml:space="preserve">209 characters</w:t>
      </w:r>
    </w:p>
    <w:p>
      <w:pPr>
        <w:spacing w:after="120" w:before="280"/>
      </w:pPr>
      <w:r>
        <w:rPr>
          <w:rFonts w:ascii="Georgia" w:cs="Georgia" w:eastAsia="Georgia" w:hAnsi="Georgia"/>
          <w:b/>
          <w:bCs/>
          <w:color w:val="C5511A"/>
          <w:sz w:val="22"/>
          <w:szCs w:val="22"/>
        </w:rPr>
        <w:t xml:space="preserve">T4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The part I did not expect at the start of this cycle is how durable it is. Two months, same shape: collateral in, base stablecoins and ETH flat to negative. That durability is what makes it a pattern rather than a liquidation echo.</w:t>
      </w:r>
    </w:p>
    <w:p>
      <w:pPr>
        <w:spacing w:after="160"/>
        <w:ind w:left="360"/>
      </w:pPr>
      <w:r>
        <w:rPr>
          <w:rFonts w:ascii="Georgia" w:cs="Georgia" w:eastAsia="Georgia" w:hAnsi="Georgia"/>
          <w:i/>
          <w:iCs/>
          <w:color w:val="595959"/>
          <w:sz w:val="18"/>
          <w:szCs w:val="18"/>
        </w:rPr>
        <w:t xml:space="preserve">231 characters</w:t>
      </w:r>
    </w:p>
    <w:p>
      <w:pPr>
        <w:spacing w:after="120" w:before="280"/>
      </w:pPr>
      <w:r>
        <w:rPr>
          <w:rFonts w:ascii="Georgia" w:cs="Georgia" w:eastAsia="Georgia" w:hAnsi="Georgia"/>
          <w:b/>
          <w:bCs/>
          <w:color w:val="C5511A"/>
          <w:sz w:val="22"/>
          <w:szCs w:val="22"/>
        </w:rPr>
        <w:t xml:space="preserve">T5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The stablecoin growth that did happen went to the USDe complex, sUSDe and USDe and the Pendle forwards, while USDC and USDT drained. That composition shift is the quieter thread I want to keep watching.</w:t>
      </w:r>
    </w:p>
    <w:p>
      <w:pPr>
        <w:spacing w:after="160"/>
        <w:ind w:left="360"/>
      </w:pPr>
      <w:r>
        <w:rPr>
          <w:rFonts w:ascii="Georgia" w:cs="Georgia" w:eastAsia="Georgia" w:hAnsi="Georgia"/>
          <w:i/>
          <w:iCs/>
          <w:color w:val="595959"/>
          <w:sz w:val="18"/>
          <w:szCs w:val="18"/>
        </w:rPr>
        <w:t xml:space="preserve">202 characters</w:t>
      </w:r>
    </w:p>
    <w:p>
      <w:pPr>
        <w:spacing w:after="120" w:before="280"/>
      </w:pPr>
      <w:r>
        <w:rPr>
          <w:rFonts w:ascii="Georgia" w:cs="Georgia" w:eastAsia="Georgia" w:hAnsi="Georgia"/>
          <w:b/>
          <w:bCs/>
          <w:color w:val="C5511A"/>
          <w:sz w:val="22"/>
          <w:szCs w:val="22"/>
        </w:rPr>
        <w:t xml:space="preserve">T6  </w:t>
      </w:r>
      <w:r>
        <w:rPr>
          <w:rFonts w:ascii="Georgia" w:cs="Georgia" w:eastAsia="Georgia" w:hAnsi="Georgia"/>
          <w:b/>
          <w:bCs/>
          <w:sz w:val="22"/>
          <w:szCs w:val="22"/>
        </w:rPr>
        <w:t xml:space="preserve">Thread 1</w:t>
      </w:r>
    </w:p>
    <w:p>
      <w:pPr>
        <w:shd w:fill="F7F4ED" w:val="clear"/>
        <w:spacing w:after="120"/>
        <w:ind w:left="360"/>
      </w:pPr>
      <w:r>
        <w:rPr>
          <w:rFonts w:ascii="Georgia" w:cs="Georgia" w:eastAsia="Georgia" w:hAnsi="Georgia"/>
          <w:sz w:val="22"/>
          <w:szCs w:val="22"/>
        </w:rPr>
        <w:t xml:space="preserve">In August I am watching one reading: whether Aave keeps carrying the sector, or a month arrives where it goes flat and another protocol absorbs the inflow. That is what decides whether July was structural.</w:t>
      </w:r>
    </w:p>
    <w:p>
      <w:pPr>
        <w:spacing w:after="160"/>
        <w:ind w:left="360"/>
      </w:pPr>
      <w:r>
        <w:rPr>
          <w:rFonts w:ascii="Georgia" w:cs="Georgia" w:eastAsia="Georgia" w:hAnsi="Georgia"/>
          <w:i/>
          <w:iCs/>
          <w:color w:val="595959"/>
          <w:sz w:val="18"/>
          <w:szCs w:val="18"/>
        </w:rPr>
        <w:t xml:space="preserve">205 characters</w:t>
      </w:r>
    </w:p>
    <w:p>
      <w:pPr>
        <w:spacing w:after="120" w:before="280"/>
      </w:pPr>
      <w:r>
        <w:rPr>
          <w:rFonts w:ascii="Georgia" w:cs="Georgia" w:eastAsia="Georgia" w:hAnsi="Georgia"/>
          <w:b/>
          <w:bCs/>
          <w:color w:val="C5511A"/>
          <w:sz w:val="22"/>
          <w:szCs w:val="22"/>
        </w:rPr>
        <w:t xml:space="preserve">T7  </w:t>
      </w:r>
      <w:r>
        <w:rPr>
          <w:rFonts w:ascii="Georgia" w:cs="Georgia" w:eastAsia="Georgia" w:hAnsi="Georgia"/>
          <w:b/>
          <w:bCs/>
          <w:sz w:val="22"/>
          <w:szCs w:val="22"/>
        </w:rPr>
        <w:t xml:space="preserve">Thread 1 (link)</w:t>
      </w:r>
    </w:p>
    <w:p>
      <w:pPr>
        <w:shd w:fill="F7F4ED" w:val="clear"/>
        <w:spacing w:after="120"/>
        <w:ind w:left="360"/>
      </w:pPr>
      <w:r>
        <w:rPr>
          <w:rFonts w:ascii="Georgia" w:cs="Georgia" w:eastAsia="Georgia" w:hAnsi="Georgia"/>
          <w:sz w:val="22"/>
          <w:szCs w:val="22"/>
        </w:rPr>
        <w:t xml:space="preserve">Full July report, charts and tables throughout.</w:t>
      </w:r>
    </w:p>
    <w:p>
      <w:pPr>
        <w:shd w:fill="F7F4ED" w:val="clear"/>
        <w:spacing w:after="120"/>
        <w:ind w:left="360"/>
      </w:pPr>
      <w:r>
        <w:rPr>
          <w:rFonts w:ascii="Georgia" w:cs="Georgia" w:eastAsia="Georgia" w:hAnsi="Georgia"/>
          <w:sz w:val="22"/>
          <w:szCs w:val="22"/>
        </w:rPr>
        <w:t xml:space="preserve">https://datumlab.xyz/resources/reports/state-of-lending-ethereum-july-2026</w:t>
      </w:r>
    </w:p>
    <w:p>
      <w:pPr>
        <w:spacing w:after="160"/>
        <w:ind w:left="360"/>
      </w:pPr>
      <w:r>
        <w:rPr>
          <w:rFonts w:ascii="Georgia" w:cs="Georgia" w:eastAsia="Georgia" w:hAnsi="Georgia"/>
          <w:i/>
          <w:iCs/>
          <w:color w:val="595959"/>
          <w:sz w:val="18"/>
          <w:szCs w:val="18"/>
        </w:rPr>
        <w:t xml:space="preserve">123 characters</w:t>
      </w:r>
    </w:p>
    <w:p>
      <w:pPr>
        <w:pStyle w:val="Heading1"/>
        <w:spacing w:after="200" w:before="400"/>
      </w:pPr>
      <w:r>
        <w:rPr>
          <w:rFonts w:ascii="Georgia" w:cs="Georgia" w:eastAsia="Georgia" w:hAnsi="Georgia"/>
          <w:b/>
          <w:bCs/>
          <w:color w:val="0E1B2C"/>
          <w:sz w:val="32"/>
          <w:szCs w:val="32"/>
        </w:rPr>
        <w:t xml:space="preserve">Thread 2: the SparkLend Sky mechanism</w:t>
      </w:r>
    </w:p>
    <w:p>
      <w:pPr>
        <w:spacing w:after="120" w:before="280"/>
      </w:pPr>
      <w:r>
        <w:rPr>
          <w:rFonts w:ascii="Georgia" w:cs="Georgia" w:eastAsia="Georgia" w:hAnsi="Georgia"/>
          <w:b/>
          <w:bCs/>
          <w:color w:val="C5511A"/>
          <w:sz w:val="22"/>
          <w:szCs w:val="22"/>
        </w:rPr>
        <w:t xml:space="preserve">T1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The most consequential thing in this month's data, for me, is that five of SparkLend's 18 reserves do not work like the USDC markets on the other five protocols at all.</w:t>
      </w:r>
    </w:p>
    <w:p>
      <w:pPr>
        <w:spacing w:after="160"/>
        <w:ind w:left="360"/>
      </w:pPr>
      <w:r>
        <w:rPr>
          <w:rFonts w:ascii="Georgia" w:cs="Georgia" w:eastAsia="Georgia" w:hAnsi="Georgia"/>
          <w:i/>
          <w:iCs/>
          <w:color w:val="595959"/>
          <w:sz w:val="18"/>
          <w:szCs w:val="18"/>
        </w:rPr>
        <w:t xml:space="preserve">168 characters</w:t>
      </w:r>
    </w:p>
    <w:p>
      <w:pPr>
        <w:spacing w:after="120" w:before="280"/>
      </w:pPr>
      <w:r>
        <w:rPr>
          <w:rFonts w:ascii="Georgia" w:cs="Georgia" w:eastAsia="Georgia" w:hAnsi="Georgia"/>
          <w:b/>
          <w:bCs/>
          <w:color w:val="C5511A"/>
          <w:sz w:val="22"/>
          <w:szCs w:val="22"/>
        </w:rPr>
        <w:t xml:space="preserve">T2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All five are stablecoins: DAI, USDC, USDT, USDS, PYUSD. Their borrow rate tracks the Sky Base Rate, the wholesale cost of the USDS that SparkLend lends against as a Sky Agent, rather than pool utilization.</w:t>
      </w:r>
    </w:p>
    <w:p>
      <w:pPr>
        <w:spacing w:after="160"/>
        <w:ind w:left="360"/>
      </w:pPr>
      <w:r>
        <w:rPr>
          <w:rFonts w:ascii="Georgia" w:cs="Georgia" w:eastAsia="Georgia" w:hAnsi="Georgia"/>
          <w:i/>
          <w:iCs/>
          <w:color w:val="595959"/>
          <w:sz w:val="18"/>
          <w:szCs w:val="18"/>
        </w:rPr>
        <w:t xml:space="preserve">205 characters</w:t>
      </w:r>
    </w:p>
    <w:p>
      <w:pPr>
        <w:spacing w:after="120" w:before="280"/>
      </w:pPr>
      <w:r>
        <w:rPr>
          <w:rFonts w:ascii="Georgia" w:cs="Georgia" w:eastAsia="Georgia" w:hAnsi="Georgia"/>
          <w:b/>
          <w:bCs/>
          <w:color w:val="C5511A"/>
          <w:sz w:val="22"/>
          <w:szCs w:val="22"/>
        </w:rPr>
        <w:t xml:space="preserve">T3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On July 23 at 14:43 UTC, Sky's Atlas Edit spell cut that Base Rate from 3.90% to 3.72%. SparkLend's USDC retail rate stepped from 4.42% to 4.28% in the same cycle. All five Sky-linked reserves moved together. The other 13 did not.</w:t>
      </w:r>
    </w:p>
    <w:p>
      <w:pPr>
        <w:spacing w:after="160"/>
        <w:ind w:left="360"/>
      </w:pPr>
      <w:r>
        <w:rPr>
          <w:rFonts w:ascii="Georgia" w:cs="Georgia" w:eastAsia="Georgia" w:hAnsi="Georgia"/>
          <w:i/>
          <w:iCs/>
          <w:color w:val="595959"/>
          <w:sz w:val="18"/>
          <w:szCs w:val="18"/>
        </w:rPr>
        <w:t xml:space="preserve">230 characters</w:t>
      </w:r>
    </w:p>
    <w:p>
      <w:pPr>
        <w:spacing w:after="120" w:before="280"/>
      </w:pPr>
      <w:r>
        <w:rPr>
          <w:rFonts w:ascii="Georgia" w:cs="Georgia" w:eastAsia="Georgia" w:hAnsi="Georgia"/>
          <w:b/>
          <w:bCs/>
          <w:color w:val="C5511A"/>
          <w:sz w:val="22"/>
          <w:szCs w:val="22"/>
        </w:rPr>
        <w:t xml:space="preserve">T4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The subtle part is July 6. USDC stepped that day too, 4.61% to 4.42%, but the Base Rate held and the other four stablecoins stayed put. July 6 was Spark compressing its own markup over the wholesale rate. July 23 was Sky cutting the wholesale rate itself. Two different events.</w:t>
      </w:r>
    </w:p>
    <w:p>
      <w:pPr>
        <w:spacing w:after="160"/>
        <w:ind w:left="360"/>
      </w:pPr>
      <w:r>
        <w:rPr>
          <w:rFonts w:ascii="Georgia" w:cs="Georgia" w:eastAsia="Georgia" w:hAnsi="Georgia"/>
          <w:i/>
          <w:iCs/>
          <w:color w:val="595959"/>
          <w:sz w:val="18"/>
          <w:szCs w:val="18"/>
        </w:rPr>
        <w:t xml:space="preserve">277 characters</w:t>
      </w:r>
    </w:p>
    <w:p>
      <w:pPr>
        <w:spacing w:after="120" w:before="280"/>
      </w:pPr>
      <w:r>
        <w:rPr>
          <w:rFonts w:ascii="Georgia" w:cs="Georgia" w:eastAsia="Georgia" w:hAnsi="Georgia"/>
          <w:b/>
          <w:bCs/>
          <w:color w:val="C5511A"/>
          <w:sz w:val="22"/>
          <w:szCs w:val="22"/>
        </w:rPr>
        <w:t xml:space="preserve">T5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On-chain, the five point at one Sky-linked rate source, 0x57027B62, which references sUSDS. The collateral book, WETH, wstETH, WBTC and the rest, still clears on Aave-shape utilization curves. SparkLend is a hybrid.</w:t>
      </w:r>
    </w:p>
    <w:p>
      <w:pPr>
        <w:spacing w:after="160"/>
        <w:ind w:left="360"/>
      </w:pPr>
      <w:r>
        <w:rPr>
          <w:rFonts w:ascii="Georgia" w:cs="Georgia" w:eastAsia="Georgia" w:hAnsi="Georgia"/>
          <w:i/>
          <w:iCs/>
          <w:color w:val="595959"/>
          <w:sz w:val="18"/>
          <w:szCs w:val="18"/>
        </w:rPr>
        <w:t xml:space="preserve">215 characters</w:t>
      </w:r>
    </w:p>
    <w:p>
      <w:pPr>
        <w:spacing w:after="120" w:before="280"/>
      </w:pPr>
      <w:r>
        <w:rPr>
          <w:rFonts w:ascii="Georgia" w:cs="Georgia" w:eastAsia="Georgia" w:hAnsi="Georgia"/>
          <w:b/>
          <w:bCs/>
          <w:color w:val="C5511A"/>
          <w:sz w:val="22"/>
          <w:szCs w:val="22"/>
        </w:rPr>
        <w:t xml:space="preserve">T6  </w:t>
      </w:r>
      <w:r>
        <w:rPr>
          <w:rFonts w:ascii="Georgia" w:cs="Georgia" w:eastAsia="Georgia" w:hAnsi="Georgia"/>
          <w:b/>
          <w:bCs/>
          <w:sz w:val="22"/>
          <w:szCs w:val="22"/>
        </w:rPr>
        <w:t xml:space="preserve">Thread 2</w:t>
      </w:r>
    </w:p>
    <w:p>
      <w:pPr>
        <w:shd w:fill="F7F4ED" w:val="clear"/>
        <w:spacing w:after="120"/>
        <w:ind w:left="360"/>
      </w:pPr>
      <w:r>
        <w:rPr>
          <w:rFonts w:ascii="Georgia" w:cs="Georgia" w:eastAsia="Georgia" w:hAnsi="Georgia"/>
          <w:sz w:val="22"/>
          <w:szCs w:val="22"/>
        </w:rPr>
        <w:t xml:space="preserve">The implication I keep coming back to: any cross-protocol USDC rate table that lists SparkLend next to Aave or Fluid is comparing two different primitives. Fluid's 4.66% is lender-borrower matching. SparkLend's 3.47% is a governance decision.</w:t>
      </w:r>
    </w:p>
    <w:p>
      <w:pPr>
        <w:spacing w:after="160"/>
        <w:ind w:left="360"/>
      </w:pPr>
      <w:r>
        <w:rPr>
          <w:rFonts w:ascii="Georgia" w:cs="Georgia" w:eastAsia="Georgia" w:hAnsi="Georgia"/>
          <w:i/>
          <w:iCs/>
          <w:color w:val="595959"/>
          <w:sz w:val="18"/>
          <w:szCs w:val="18"/>
        </w:rPr>
        <w:t xml:space="preserve">242 characters</w:t>
      </w:r>
    </w:p>
    <w:p>
      <w:pPr>
        <w:spacing w:after="120" w:before="280"/>
      </w:pPr>
      <w:r>
        <w:rPr>
          <w:rFonts w:ascii="Georgia" w:cs="Georgia" w:eastAsia="Georgia" w:hAnsi="Georgia"/>
          <w:b/>
          <w:bCs/>
          <w:color w:val="C5511A"/>
          <w:sz w:val="22"/>
          <w:szCs w:val="22"/>
        </w:rPr>
        <w:t xml:space="preserve">T7  </w:t>
      </w:r>
      <w:r>
        <w:rPr>
          <w:rFonts w:ascii="Georgia" w:cs="Georgia" w:eastAsia="Georgia" w:hAnsi="Georgia"/>
          <w:b/>
          <w:bCs/>
          <w:sz w:val="22"/>
          <w:szCs w:val="22"/>
        </w:rPr>
        <w:t xml:space="preserve">Thread 2 (link)</w:t>
      </w:r>
    </w:p>
    <w:p>
      <w:pPr>
        <w:shd w:fill="F7F4ED" w:val="clear"/>
        <w:spacing w:after="120"/>
        <w:ind w:left="360"/>
      </w:pPr>
      <w:r>
        <w:rPr>
          <w:rFonts w:ascii="Georgia" w:cs="Georgia" w:eastAsia="Georgia" w:hAnsi="Georgia"/>
          <w:sz w:val="22"/>
          <w:szCs w:val="22"/>
        </w:rPr>
        <w:t xml:space="preserve">Full July report, charts and tables throughout.</w:t>
      </w:r>
    </w:p>
    <w:p>
      <w:pPr>
        <w:shd w:fill="F7F4ED" w:val="clear"/>
        <w:spacing w:after="120"/>
        <w:ind w:left="360"/>
      </w:pPr>
      <w:r>
        <w:rPr>
          <w:rFonts w:ascii="Georgia" w:cs="Georgia" w:eastAsia="Georgia" w:hAnsi="Georgia"/>
          <w:sz w:val="22"/>
          <w:szCs w:val="22"/>
        </w:rPr>
        <w:t xml:space="preserve">https://datumlab.xyz/resources/reports/state-of-lending-ethereum-july-2026</w:t>
      </w:r>
    </w:p>
    <w:p>
      <w:pPr>
        <w:spacing w:after="160"/>
        <w:ind w:left="360"/>
      </w:pPr>
      <w:r>
        <w:rPr>
          <w:rFonts w:ascii="Georgia" w:cs="Georgia" w:eastAsia="Georgia" w:hAnsi="Georgia"/>
          <w:i/>
          <w:iCs/>
          <w:color w:val="595959"/>
          <w:sz w:val="18"/>
          <w:szCs w:val="18"/>
        </w:rPr>
        <w:t xml:space="preserve">123 characters</w:t>
      </w:r>
    </w:p>
    <w:p>
      <w:pPr>
        <w:pStyle w:val="Heading1"/>
        <w:spacing w:after="200" w:before="400"/>
      </w:pPr>
      <w:r>
        <w:rPr>
          <w:rFonts w:ascii="Georgia" w:cs="Georgia" w:eastAsia="Georgia" w:hAnsi="Georgia"/>
          <w:b/>
          <w:bCs/>
          <w:color w:val="0E1B2C"/>
          <w:sz w:val="32"/>
          <w:szCs w:val="32"/>
        </w:rPr>
        <w:t xml:space="preserve">Standalone tweets</w:t>
      </w:r>
    </w:p>
    <w:p>
      <w:pPr>
        <w:spacing w:after="120" w:before="280"/>
      </w:pPr>
      <w:r>
        <w:rPr>
          <w:rFonts w:ascii="Georgia" w:cs="Georgia" w:eastAsia="Georgia" w:hAnsi="Georgia"/>
          <w:b/>
          <w:bCs/>
          <w:color w:val="C5511A"/>
          <w:sz w:val="22"/>
          <w:szCs w:val="22"/>
        </w:rPr>
        <w:t xml:space="preserve">S.1  </w:t>
      </w:r>
      <w:r>
        <w:rPr>
          <w:rFonts w:ascii="Georgia" w:cs="Georgia" w:eastAsia="Georgia" w:hAnsi="Georgia"/>
          <w:b/>
          <w:bCs/>
          <w:sz w:val="22"/>
          <w:szCs w:val="22"/>
        </w:rPr>
        <w:t xml:space="preserve">Sentora crossover as a vault-surface story</w:t>
      </w:r>
    </w:p>
    <w:p>
      <w:pPr>
        <w:shd w:fill="F7F4ED" w:val="clear"/>
        <w:spacing w:after="120"/>
        <w:ind w:left="360"/>
      </w:pPr>
      <w:r>
        <w:rPr>
          <w:rFonts w:ascii="Georgia" w:cs="Georgia" w:eastAsia="Georgia" w:hAnsi="Georgia"/>
          <w:sz w:val="22"/>
          <w:szCs w:val="22"/>
        </w:rPr>
        <w:t xml:space="preserve">Sentora overtaking Steakhouse as Morpho's largest curator is a story about the vault surface, one level below protocol flow. Morpho took +$135M at the protocol level in July; underneath, Sentora consolidated from 27.65% in May to 33.56% in July on three concentrated V2 vaults.</w:t>
      </w:r>
    </w:p>
    <w:p>
      <w:pPr>
        <w:shd w:fill="F7F4ED" w:val="clear"/>
        <w:spacing w:after="120"/>
        <w:ind w:left="360"/>
      </w:pPr>
      <w:r>
        <w:rPr>
          <w:rFonts w:ascii="Georgia" w:cs="Georgia" w:eastAsia="Georgia" w:hAnsi="Georgia"/>
          <w:sz w:val="22"/>
          <w:szCs w:val="22"/>
        </w:rPr>
        <w:t xml:space="preserve">https://datumlab.xyz/resources/reports/state-of-lending-ethereum-july-2026</w:t>
      </w:r>
    </w:p>
    <w:p>
      <w:pPr>
        <w:spacing w:after="160"/>
        <w:ind w:left="360"/>
      </w:pPr>
      <w:r>
        <w:rPr>
          <w:rFonts w:ascii="Georgia" w:cs="Georgia" w:eastAsia="Georgia" w:hAnsi="Georgia"/>
          <w:i/>
          <w:iCs/>
          <w:color w:val="595959"/>
          <w:sz w:val="18"/>
          <w:szCs w:val="18"/>
        </w:rPr>
        <w:t xml:space="preserve">353 characters</w:t>
      </w:r>
    </w:p>
    <w:p>
      <w:pPr>
        <w:spacing w:after="120" w:before="280"/>
      </w:pPr>
      <w:r>
        <w:rPr>
          <w:rFonts w:ascii="Georgia" w:cs="Georgia" w:eastAsia="Georgia" w:hAnsi="Georgia"/>
          <w:b/>
          <w:bCs/>
          <w:color w:val="C5511A"/>
          <w:sz w:val="22"/>
          <w:szCs w:val="22"/>
        </w:rPr>
        <w:t xml:space="preserve">S.2  </w:t>
      </w:r>
      <w:r>
        <w:rPr>
          <w:rFonts w:ascii="Georgia" w:cs="Georgia" w:eastAsia="Georgia" w:hAnsi="Georgia"/>
          <w:b/>
          <w:bCs/>
          <w:sz w:val="22"/>
          <w:szCs w:val="22"/>
        </w:rPr>
        <w:t xml:space="preserve">Fluid stickiness under rate compression</w:t>
      </w:r>
    </w:p>
    <w:p>
      <w:pPr>
        <w:shd w:fill="F7F4ED" w:val="clear"/>
        <w:spacing w:after="120"/>
        <w:ind w:left="360"/>
      </w:pPr>
      <w:r>
        <w:rPr>
          <w:rFonts w:ascii="Georgia" w:cs="Georgia" w:eastAsia="Georgia" w:hAnsi="Georgia"/>
          <w:sz w:val="22"/>
          <w:szCs w:val="22"/>
        </w:rPr>
        <w:t xml:space="preserve">Fluid cut its USDC supply APY 175 bps in July, 6.41% to 4.66%, and still took +$26M of net flow. On a venue whose yield edge comes from capital that serves as both DEX and lending liquidity, depositors did not treat the cut as a reason to leave. Stickiness worth watching.</w:t>
      </w:r>
    </w:p>
    <w:p>
      <w:pPr>
        <w:shd w:fill="F7F4ED" w:val="clear"/>
        <w:spacing w:after="120"/>
        <w:ind w:left="360"/>
      </w:pPr>
      <w:r>
        <w:rPr>
          <w:rFonts w:ascii="Georgia" w:cs="Georgia" w:eastAsia="Georgia" w:hAnsi="Georgia"/>
          <w:sz w:val="22"/>
          <w:szCs w:val="22"/>
        </w:rPr>
        <w:t xml:space="preserve">https://datumlab.xyz/resources/reports/state-of-lending-ethereum-july-2026</w:t>
      </w:r>
    </w:p>
    <w:p>
      <w:pPr>
        <w:spacing w:after="160"/>
        <w:ind w:left="360"/>
      </w:pPr>
      <w:r>
        <w:rPr>
          <w:rFonts w:ascii="Georgia" w:cs="Georgia" w:eastAsia="Georgia" w:hAnsi="Georgia"/>
          <w:i/>
          <w:iCs/>
          <w:color w:val="595959"/>
          <w:sz w:val="18"/>
          <w:szCs w:val="18"/>
        </w:rPr>
        <w:t xml:space="preserve">348 characters</w:t>
      </w:r>
    </w:p>
    <w:p>
      <w:pPr>
        <w:spacing w:after="120" w:before="280"/>
      </w:pPr>
      <w:r>
        <w:rPr>
          <w:rFonts w:ascii="Georgia" w:cs="Georgia" w:eastAsia="Georgia" w:hAnsi="Georgia"/>
          <w:b/>
          <w:bCs/>
          <w:color w:val="C5511A"/>
          <w:sz w:val="22"/>
          <w:szCs w:val="22"/>
        </w:rPr>
        <w:t xml:space="preserve">S.3  </w:t>
      </w:r>
      <w:r>
        <w:rPr>
          <w:rFonts w:ascii="Georgia" w:cs="Georgia" w:eastAsia="Georgia" w:hAnsi="Georgia"/>
          <w:b/>
          <w:bCs/>
          <w:sz w:val="22"/>
          <w:szCs w:val="22"/>
        </w:rPr>
        <w:t xml:space="preserve">The late-cycle shape</w:t>
      </w:r>
    </w:p>
    <w:p>
      <w:pPr>
        <w:shd w:fill="F7F4ED" w:val="clear"/>
        <w:spacing w:after="120"/>
        <w:ind w:left="360"/>
      </w:pPr>
      <w:r>
        <w:rPr>
          <w:rFonts w:ascii="Georgia" w:cs="Georgia" w:eastAsia="Georgia" w:hAnsi="Georgia"/>
          <w:sz w:val="22"/>
          <w:szCs w:val="22"/>
        </w:rPr>
        <w:t xml:space="preserve">Halved growth, a second month of climbing curator concentration, and real yield deepening to −75 bps below the T-bill. Put together, July reads to me as a late-cycle depositor market: the largest venues keep winning, and the new capital they win from keeps thinning.</w:t>
      </w:r>
    </w:p>
    <w:p>
      <w:pPr>
        <w:shd w:fill="F7F4ED" w:val="clear"/>
        <w:spacing w:after="120"/>
        <w:ind w:left="360"/>
      </w:pPr>
      <w:r>
        <w:rPr>
          <w:rFonts w:ascii="Georgia" w:cs="Georgia" w:eastAsia="Georgia" w:hAnsi="Georgia"/>
          <w:sz w:val="22"/>
          <w:szCs w:val="22"/>
        </w:rPr>
        <w:t xml:space="preserve">https://datumlab.xyz/resources/reports/state-of-lending-ethereum-july-2026</w:t>
      </w:r>
    </w:p>
    <w:p>
      <w:pPr>
        <w:spacing w:after="160"/>
        <w:ind w:left="360"/>
      </w:pPr>
      <w:r>
        <w:rPr>
          <w:rFonts w:ascii="Georgia" w:cs="Georgia" w:eastAsia="Georgia" w:hAnsi="Georgia"/>
          <w:i/>
          <w:iCs/>
          <w:color w:val="595959"/>
          <w:sz w:val="18"/>
          <w:szCs w:val="18"/>
        </w:rPr>
        <w:t xml:space="preserve">342 characters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2026-08-06T08:14:03.166Z</dcterms:created>
  <dcterms:modified xsi:type="dcterms:W3CDTF">2026-08-06T08:14:03.166Z</dcterms:modified>
</cp:coreProperties>
</file>

<file path=docProps/custom.xml><?xml version="1.0" encoding="utf-8"?>
<Properties xmlns="http://schemas.openxmlformats.org/officeDocument/2006/custom-properties" xmlns:vt="http://schemas.openxmlformats.org/officeDocument/2006/docPropsVTypes"/>
</file>